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F7BE" w14:textId="77777777" w:rsidR="00CC204D" w:rsidRPr="00682A96" w:rsidRDefault="002B7E34" w:rsidP="00FD79E5">
      <w:pPr>
        <w:spacing w:line="276" w:lineRule="auto"/>
        <w:jc w:val="both"/>
        <w:rPr>
          <w:rStyle w:val="Accentuation"/>
          <w:i w:val="0"/>
        </w:rPr>
      </w:pPr>
      <w:r>
        <w:rPr>
          <w:iCs/>
          <w:noProof/>
          <w:lang w:val="en-US"/>
        </w:rPr>
        <mc:AlternateContent>
          <mc:Choice Requires="wps">
            <w:drawing>
              <wp:anchor distT="0" distB="0" distL="0" distR="0" simplePos="0" relativeHeight="6" behindDoc="0" locked="0" layoutInCell="1" allowOverlap="1" wp14:anchorId="69F9AACA" wp14:editId="2A1A09D6">
                <wp:simplePos x="0" y="0"/>
                <wp:positionH relativeFrom="page">
                  <wp:posOffset>-19050</wp:posOffset>
                </wp:positionH>
                <wp:positionV relativeFrom="paragraph">
                  <wp:posOffset>-951865</wp:posOffset>
                </wp:positionV>
                <wp:extent cx="7581900" cy="23812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381250"/>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8C712A" w14:paraId="74E5E6A9" w14:textId="77777777" w:rsidTr="005B5097">
                              <w:trPr>
                                <w:trHeight w:val="1385"/>
                              </w:trPr>
                              <w:tc>
                                <w:tcPr>
                                  <w:tcW w:w="1134" w:type="dxa"/>
                                  <w:hideMark/>
                                </w:tcPr>
                                <w:p w14:paraId="73F205E8" w14:textId="77777777" w:rsidR="008C712A" w:rsidRDefault="008C712A">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8C712A" w:rsidRDefault="008C712A">
                                  <w:pPr>
                                    <w:ind w:left="34"/>
                                    <w:rPr>
                                      <w:color w:val="525252"/>
                                      <w:sz w:val="16"/>
                                      <w:lang w:val="fr-FR"/>
                                    </w:rPr>
                                  </w:pPr>
                                  <w:r>
                                    <w:rPr>
                                      <w:color w:val="525252"/>
                                      <w:sz w:val="16"/>
                                      <w:lang w:val="fr-FR"/>
                                    </w:rPr>
                                    <w:t>REPUBLIQUE GABONAISE</w:t>
                                  </w:r>
                                </w:p>
                                <w:p w14:paraId="04820536" w14:textId="77777777" w:rsidR="008C712A" w:rsidRDefault="008C712A">
                                  <w:pPr>
                                    <w:ind w:left="34"/>
                                    <w:rPr>
                                      <w:color w:val="525252"/>
                                      <w:sz w:val="16"/>
                                      <w:lang w:val="fr-FR"/>
                                    </w:rPr>
                                  </w:pPr>
                                  <w:r>
                                    <w:rPr>
                                      <w:color w:val="525252"/>
                                      <w:sz w:val="16"/>
                                      <w:lang w:val="fr-FR"/>
                                    </w:rPr>
                                    <w:t>Ministère des Eaux et Forêts</w:t>
                                  </w:r>
                                </w:p>
                                <w:p w14:paraId="0B0E9CEC" w14:textId="77777777" w:rsidR="008C712A" w:rsidRDefault="008C712A">
                                  <w:pPr>
                                    <w:ind w:left="34"/>
                                    <w:rPr>
                                      <w:noProof/>
                                      <w:color w:val="525252"/>
                                      <w:sz w:val="18"/>
                                    </w:rPr>
                                  </w:pPr>
                                  <w:r>
                                    <w:rPr>
                                      <w:color w:val="525252"/>
                                      <w:sz w:val="16"/>
                                      <w:lang w:val="fr-FR"/>
                                    </w:rPr>
                                    <w:t>Secrétariat Général</w:t>
                                  </w:r>
                                </w:p>
                              </w:tc>
                              <w:tc>
                                <w:tcPr>
                                  <w:tcW w:w="1276" w:type="dxa"/>
                                </w:tcPr>
                                <w:p w14:paraId="4AA6B4F8" w14:textId="77777777" w:rsidR="008C712A" w:rsidRDefault="008C712A">
                                  <w:pPr>
                                    <w:rPr>
                                      <w:color w:val="525252"/>
                                      <w:sz w:val="18"/>
                                      <w:lang w:val="fr-FR"/>
                                    </w:rPr>
                                  </w:pPr>
                                </w:p>
                              </w:tc>
                              <w:tc>
                                <w:tcPr>
                                  <w:tcW w:w="2835" w:type="dxa"/>
                                  <w:vAlign w:val="center"/>
                                </w:tcPr>
                                <w:p w14:paraId="78796083" w14:textId="77777777" w:rsidR="008C712A" w:rsidRDefault="008C712A">
                                  <w:pPr>
                                    <w:ind w:left="34"/>
                                    <w:rPr>
                                      <w:color w:val="525252"/>
                                      <w:sz w:val="16"/>
                                      <w:lang w:val="fr-FR"/>
                                    </w:rPr>
                                  </w:pPr>
                                </w:p>
                              </w:tc>
                              <w:tc>
                                <w:tcPr>
                                  <w:tcW w:w="1417" w:type="dxa"/>
                                  <w:vAlign w:val="center"/>
                                </w:tcPr>
                                <w:p w14:paraId="63787A4C" w14:textId="77777777" w:rsidR="008C712A" w:rsidRDefault="008C712A">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8C712A" w:rsidRDefault="008C712A" w:rsidP="005B5097">
                                  <w:pPr>
                                    <w:ind w:left="34"/>
                                    <w:rPr>
                                      <w:color w:val="525252"/>
                                      <w:sz w:val="16"/>
                                      <w:lang w:val="fr-FR"/>
                                    </w:rPr>
                                  </w:pPr>
                                  <w:r>
                                    <w:rPr>
                                      <w:color w:val="525252"/>
                                      <w:sz w:val="16"/>
                                      <w:lang w:val="fr-FR"/>
                                    </w:rPr>
                                    <w:t xml:space="preserve">CONSERVATION JUSTICE </w:t>
                                  </w:r>
                                </w:p>
                                <w:p w14:paraId="213BD711" w14:textId="77777777" w:rsidR="008C712A" w:rsidRDefault="008C712A" w:rsidP="005B5097">
                                  <w:pPr>
                                    <w:ind w:left="34"/>
                                    <w:rPr>
                                      <w:color w:val="525252"/>
                                      <w:sz w:val="16"/>
                                      <w:lang w:val="fr-FR"/>
                                    </w:rPr>
                                  </w:pPr>
                                  <w:r>
                                    <w:rPr>
                                      <w:color w:val="525252"/>
                                      <w:sz w:val="16"/>
                                      <w:lang w:val="fr-FR"/>
                                    </w:rPr>
                                    <w:t xml:space="preserve"> (+241) 074 23 38 65 </w:t>
                                  </w:r>
                                </w:p>
                                <w:p w14:paraId="0FB6722F" w14:textId="77777777" w:rsidR="008C712A" w:rsidRDefault="008C712A" w:rsidP="005B5097">
                                  <w:pPr>
                                    <w:ind w:left="34"/>
                                    <w:rPr>
                                      <w:color w:val="525252"/>
                                      <w:sz w:val="16"/>
                                      <w:lang w:val="fr-FR"/>
                                    </w:rPr>
                                  </w:pPr>
                                  <w:r>
                                    <w:rPr>
                                      <w:color w:val="525252"/>
                                      <w:sz w:val="16"/>
                                      <w:lang w:val="fr-FR"/>
                                    </w:rPr>
                                    <w:t>luc@conservation-justice.org</w:t>
                                  </w:r>
                                </w:p>
                                <w:p w14:paraId="654721BB" w14:textId="77777777" w:rsidR="008C712A" w:rsidRDefault="008C712A" w:rsidP="005B5097">
                                  <w:pPr>
                                    <w:rPr>
                                      <w:noProof/>
                                      <w:color w:val="525252"/>
                                      <w:sz w:val="18"/>
                                    </w:rPr>
                                  </w:pPr>
                                  <w:r>
                                    <w:rPr>
                                      <w:color w:val="525252"/>
                                      <w:sz w:val="16"/>
                                    </w:rPr>
                                    <w:t>www.conservation-justice.org</w:t>
                                  </w:r>
                                </w:p>
                              </w:tc>
                            </w:tr>
                          </w:tbl>
                          <w:p w14:paraId="32CED888" w14:textId="77777777" w:rsidR="008C712A" w:rsidRPr="009D1CCE" w:rsidRDefault="008C712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8C712A" w:rsidRDefault="008C712A">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9F9AACA" id="Rectangle 4" o:spid="_x0000_s1026" style="position:absolute;left:0;text-align:left;margin-left:-1.5pt;margin-top:-74.95pt;width:597pt;height:18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" stroked="f">
                <v:textbox>
                  <w:txbxContent>
                    <w:tbl>
                      <w:tblPr>
                        <w:tblStyle w:val="Grilledutableau1"/>
                        <w:tblW w:w="11448" w:type="dxa"/>
                        <w:tblInd w:w="284"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8C712A" w14:paraId="74E5E6A9" w14:textId="77777777" w:rsidTr="005B5097">
                        <w:trPr>
                          <w:trHeight w:val="1385"/>
                        </w:trPr>
                        <w:tc>
                          <w:tcPr>
                            <w:tcW w:w="1134" w:type="dxa"/>
                            <w:hideMark/>
                          </w:tcPr>
                          <w:p w14:paraId="73F205E8" w14:textId="77777777" w:rsidR="008C712A" w:rsidRDefault="008C712A">
                            <w:pPr>
                              <w:ind w:left="-26"/>
                              <w:rPr>
                                <w:color w:val="525252"/>
                                <w:sz w:val="18"/>
                              </w:rPr>
                            </w:pPr>
                            <w:r>
                              <w:rPr>
                                <w:noProof/>
                                <w:color w:val="525252"/>
                                <w:sz w:val="18"/>
                                <w:lang w:val="en-US"/>
                              </w:rPr>
                              <w:drawing>
                                <wp:inline distT="0" distB="0" distL="0" distR="0" wp14:anchorId="3DCE1350" wp14:editId="25C7AA9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6D996FC" w14:textId="77777777" w:rsidR="008C712A" w:rsidRDefault="008C712A">
                            <w:pPr>
                              <w:ind w:left="34"/>
                              <w:rPr>
                                <w:color w:val="525252"/>
                                <w:sz w:val="16"/>
                                <w:lang w:val="fr-FR"/>
                              </w:rPr>
                            </w:pPr>
                            <w:r>
                              <w:rPr>
                                <w:color w:val="525252"/>
                                <w:sz w:val="16"/>
                                <w:lang w:val="fr-FR"/>
                              </w:rPr>
                              <w:t>REPUBLIQUE GABONAISE</w:t>
                            </w:r>
                          </w:p>
                          <w:p w14:paraId="04820536" w14:textId="77777777" w:rsidR="008C712A" w:rsidRDefault="008C712A">
                            <w:pPr>
                              <w:ind w:left="34"/>
                              <w:rPr>
                                <w:color w:val="525252"/>
                                <w:sz w:val="16"/>
                                <w:lang w:val="fr-FR"/>
                              </w:rPr>
                            </w:pPr>
                            <w:r>
                              <w:rPr>
                                <w:color w:val="525252"/>
                                <w:sz w:val="16"/>
                                <w:lang w:val="fr-FR"/>
                              </w:rPr>
                              <w:t>Ministère des Eaux et Forêts</w:t>
                            </w:r>
                          </w:p>
                          <w:p w14:paraId="0B0E9CEC" w14:textId="77777777" w:rsidR="008C712A" w:rsidRDefault="008C712A">
                            <w:pPr>
                              <w:ind w:left="34"/>
                              <w:rPr>
                                <w:noProof/>
                                <w:color w:val="525252"/>
                                <w:sz w:val="18"/>
                              </w:rPr>
                            </w:pPr>
                            <w:r>
                              <w:rPr>
                                <w:color w:val="525252"/>
                                <w:sz w:val="16"/>
                                <w:lang w:val="fr-FR"/>
                              </w:rPr>
                              <w:t>Secrétariat Général</w:t>
                            </w:r>
                          </w:p>
                        </w:tc>
                        <w:tc>
                          <w:tcPr>
                            <w:tcW w:w="1276" w:type="dxa"/>
                          </w:tcPr>
                          <w:p w14:paraId="4AA6B4F8" w14:textId="77777777" w:rsidR="008C712A" w:rsidRDefault="008C712A">
                            <w:pPr>
                              <w:rPr>
                                <w:color w:val="525252"/>
                                <w:sz w:val="18"/>
                                <w:lang w:val="fr-FR"/>
                              </w:rPr>
                            </w:pPr>
                          </w:p>
                        </w:tc>
                        <w:tc>
                          <w:tcPr>
                            <w:tcW w:w="2835" w:type="dxa"/>
                            <w:vAlign w:val="center"/>
                          </w:tcPr>
                          <w:p w14:paraId="78796083" w14:textId="77777777" w:rsidR="008C712A" w:rsidRDefault="008C712A">
                            <w:pPr>
                              <w:ind w:left="34"/>
                              <w:rPr>
                                <w:color w:val="525252"/>
                                <w:sz w:val="16"/>
                                <w:lang w:val="fr-FR"/>
                              </w:rPr>
                            </w:pPr>
                          </w:p>
                        </w:tc>
                        <w:tc>
                          <w:tcPr>
                            <w:tcW w:w="1417" w:type="dxa"/>
                            <w:vAlign w:val="center"/>
                          </w:tcPr>
                          <w:p w14:paraId="63787A4C" w14:textId="77777777" w:rsidR="008C712A" w:rsidRDefault="008C712A">
                            <w:pPr>
                              <w:ind w:left="34"/>
                              <w:rPr>
                                <w:noProof/>
                                <w:color w:val="525252"/>
                                <w:sz w:val="18"/>
                              </w:rPr>
                            </w:pPr>
                            <w:r>
                              <w:rPr>
                                <w:noProof/>
                                <w:color w:val="525252"/>
                                <w:sz w:val="18"/>
                                <w:lang w:val="en-US"/>
                              </w:rPr>
                              <w:drawing>
                                <wp:inline distT="0" distB="0" distL="0" distR="0" wp14:anchorId="77E779F4" wp14:editId="063E7A75">
                                  <wp:extent cx="733425" cy="812800"/>
                                  <wp:effectExtent l="0" t="0" r="9525" b="635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812800"/>
                                          </a:xfrm>
                                          <a:prstGeom prst="rect">
                                            <a:avLst/>
                                          </a:prstGeom>
                                        </pic:spPr>
                                      </pic:pic>
                                    </a:graphicData>
                                  </a:graphic>
                                </wp:inline>
                              </w:drawing>
                            </w:r>
                          </w:p>
                        </w:tc>
                        <w:tc>
                          <w:tcPr>
                            <w:tcW w:w="2552" w:type="dxa"/>
                            <w:vAlign w:val="center"/>
                          </w:tcPr>
                          <w:p w14:paraId="1FF8A76D" w14:textId="77777777" w:rsidR="008C712A" w:rsidRDefault="008C712A" w:rsidP="005B5097">
                            <w:pPr>
                              <w:ind w:left="34"/>
                              <w:rPr>
                                <w:color w:val="525252"/>
                                <w:sz w:val="16"/>
                                <w:lang w:val="fr-FR"/>
                              </w:rPr>
                            </w:pPr>
                            <w:r>
                              <w:rPr>
                                <w:color w:val="525252"/>
                                <w:sz w:val="16"/>
                                <w:lang w:val="fr-FR"/>
                              </w:rPr>
                              <w:t xml:space="preserve">CONSERVATION JUSTICE </w:t>
                            </w:r>
                          </w:p>
                          <w:p w14:paraId="213BD711" w14:textId="77777777" w:rsidR="008C712A" w:rsidRDefault="008C712A" w:rsidP="005B5097">
                            <w:pPr>
                              <w:ind w:left="34"/>
                              <w:rPr>
                                <w:color w:val="525252"/>
                                <w:sz w:val="16"/>
                                <w:lang w:val="fr-FR"/>
                              </w:rPr>
                            </w:pPr>
                            <w:r>
                              <w:rPr>
                                <w:color w:val="525252"/>
                                <w:sz w:val="16"/>
                                <w:lang w:val="fr-FR"/>
                              </w:rPr>
                              <w:t xml:space="preserve"> (+241) 074 23 38 65 </w:t>
                            </w:r>
                          </w:p>
                          <w:p w14:paraId="0FB6722F" w14:textId="77777777" w:rsidR="008C712A" w:rsidRDefault="008C712A" w:rsidP="005B5097">
                            <w:pPr>
                              <w:ind w:left="34"/>
                              <w:rPr>
                                <w:color w:val="525252"/>
                                <w:sz w:val="16"/>
                                <w:lang w:val="fr-FR"/>
                              </w:rPr>
                            </w:pPr>
                            <w:r>
                              <w:rPr>
                                <w:color w:val="525252"/>
                                <w:sz w:val="16"/>
                                <w:lang w:val="fr-FR"/>
                              </w:rPr>
                              <w:t>luc@conservation-justice.org</w:t>
                            </w:r>
                          </w:p>
                          <w:p w14:paraId="654721BB" w14:textId="77777777" w:rsidR="008C712A" w:rsidRDefault="008C712A" w:rsidP="005B5097">
                            <w:pPr>
                              <w:rPr>
                                <w:noProof/>
                                <w:color w:val="525252"/>
                                <w:sz w:val="18"/>
                              </w:rPr>
                            </w:pPr>
                            <w:r>
                              <w:rPr>
                                <w:color w:val="525252"/>
                                <w:sz w:val="16"/>
                              </w:rPr>
                              <w:t>www.conservation-justice.org</w:t>
                            </w:r>
                          </w:p>
                        </w:tc>
                      </w:tr>
                    </w:tbl>
                    <w:p w14:paraId="32CED888" w14:textId="77777777" w:rsidR="008C712A" w:rsidRPr="009D1CCE" w:rsidRDefault="008C712A">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4455AC0D" w14:textId="77777777" w:rsidR="008C712A" w:rsidRDefault="008C712A">
                      <w:pPr>
                        <w:ind w:left="426"/>
                        <w:rPr>
                          <w:color w:val="0D0D0D"/>
                          <w:lang w:val="fr-FR"/>
                        </w:rPr>
                      </w:pPr>
                      <w:r>
                        <w:t>Renforcement de l’application de la Loi sur la Faune et la Flore en Afrique Centrale</w:t>
                      </w:r>
                    </w:p>
                  </w:txbxContent>
                </v:textbox>
                <w10:wrap anchorx="page"/>
              </v:rect>
            </w:pict>
          </mc:Fallback>
        </mc:AlternateContent>
      </w:r>
      <w:r>
        <w:rPr>
          <w:iCs/>
          <w:noProof/>
          <w:lang w:val="en-US"/>
        </w:rPr>
        <mc:AlternateContent>
          <mc:Choice Requires="wps">
            <w:drawing>
              <wp:anchor distT="0" distB="0" distL="0" distR="0" simplePos="0" relativeHeight="2" behindDoc="0" locked="0" layoutInCell="1" allowOverlap="1" wp14:anchorId="43F81349" wp14:editId="1F08A85F">
                <wp:simplePos x="0" y="0"/>
                <wp:positionH relativeFrom="column">
                  <wp:posOffset>1200150</wp:posOffset>
                </wp:positionH>
                <wp:positionV relativeFrom="paragraph">
                  <wp:posOffset>-675640</wp:posOffset>
                </wp:positionV>
                <wp:extent cx="3181350" cy="5810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3729D" id="Rectangle 3"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" stroked="f">
                <v:path arrowok="t"/>
              </v:rect>
            </w:pict>
          </mc:Fallback>
        </mc:AlternateContent>
      </w:r>
      <w:r w:rsidR="00D46E78" w:rsidRPr="00682A96">
        <w:rPr>
          <w:rStyle w:val="Accentuation"/>
          <w:i w:val="0"/>
        </w:rPr>
        <w:t>-</w:t>
      </w:r>
    </w:p>
    <w:p w14:paraId="0E33150F" w14:textId="77777777" w:rsidR="00CC204D" w:rsidRPr="00682A96" w:rsidRDefault="00CC204D" w:rsidP="00FD79E5">
      <w:pPr>
        <w:spacing w:line="276" w:lineRule="auto"/>
        <w:jc w:val="both"/>
        <w:rPr>
          <w:rStyle w:val="Accentuation"/>
          <w:i w:val="0"/>
        </w:rPr>
      </w:pPr>
    </w:p>
    <w:p w14:paraId="58BB9C8A" w14:textId="77777777" w:rsidR="00CC204D" w:rsidRPr="00682A96" w:rsidRDefault="00CC204D" w:rsidP="00FD79E5">
      <w:pPr>
        <w:spacing w:line="276" w:lineRule="auto"/>
        <w:jc w:val="both"/>
        <w:rPr>
          <w:rStyle w:val="Accentuation"/>
          <w:i w:val="0"/>
        </w:rPr>
      </w:pPr>
    </w:p>
    <w:p w14:paraId="30714DE6" w14:textId="77777777" w:rsidR="00CC204D" w:rsidRPr="00682A96" w:rsidRDefault="00CC204D" w:rsidP="00FD79E5">
      <w:pPr>
        <w:spacing w:line="276" w:lineRule="auto"/>
        <w:jc w:val="both"/>
        <w:rPr>
          <w:rStyle w:val="Accentuation"/>
          <w:i w:val="0"/>
        </w:rPr>
      </w:pPr>
    </w:p>
    <w:p w14:paraId="05C63C63" w14:textId="77777777" w:rsidR="00CC204D" w:rsidRPr="00682A96" w:rsidRDefault="00CC204D" w:rsidP="00FD79E5">
      <w:pPr>
        <w:spacing w:line="276" w:lineRule="auto"/>
        <w:jc w:val="both"/>
        <w:rPr>
          <w:rStyle w:val="Accentuation"/>
          <w:i w:val="0"/>
        </w:rPr>
      </w:pPr>
    </w:p>
    <w:p w14:paraId="21074E8D" w14:textId="77777777" w:rsidR="00CC204D" w:rsidRPr="00682A96" w:rsidRDefault="00CC204D" w:rsidP="00FD79E5">
      <w:pPr>
        <w:spacing w:line="276" w:lineRule="auto"/>
        <w:jc w:val="both"/>
        <w:rPr>
          <w:rStyle w:val="Accentuation"/>
          <w:i w:val="0"/>
        </w:rPr>
      </w:pPr>
    </w:p>
    <w:p w14:paraId="305D2D9F" w14:textId="77777777" w:rsidR="00CC204D" w:rsidRPr="00682A96" w:rsidRDefault="00CC204D" w:rsidP="00FD79E5">
      <w:pPr>
        <w:spacing w:line="276" w:lineRule="auto"/>
        <w:jc w:val="both"/>
        <w:rPr>
          <w:rStyle w:val="Accentuation"/>
          <w:i w:val="0"/>
        </w:rPr>
      </w:pPr>
    </w:p>
    <w:p w14:paraId="01AC01A9" w14:textId="77777777" w:rsidR="00CC204D" w:rsidRPr="00682A96" w:rsidRDefault="00CC204D" w:rsidP="00FD79E5">
      <w:pPr>
        <w:spacing w:line="276" w:lineRule="auto"/>
        <w:jc w:val="center"/>
        <w:rPr>
          <w:rStyle w:val="Accentuation"/>
          <w:i w:val="0"/>
        </w:rPr>
      </w:pPr>
    </w:p>
    <w:p w14:paraId="3EC85C27" w14:textId="77777777" w:rsidR="009D1CCE" w:rsidRPr="00682A96" w:rsidRDefault="009D1CCE" w:rsidP="00FD79E5">
      <w:pPr>
        <w:spacing w:line="276" w:lineRule="auto"/>
        <w:jc w:val="center"/>
        <w:rPr>
          <w:b/>
          <w:bCs/>
        </w:rPr>
      </w:pPr>
      <w:r w:rsidRPr="00682A96">
        <w:rPr>
          <w:b/>
          <w:bCs/>
        </w:rPr>
        <w:t xml:space="preserve">Appui à la </w:t>
      </w:r>
      <w:r w:rsidR="00B84130" w:rsidRPr="00682A96">
        <w:rPr>
          <w:b/>
          <w:bCs/>
        </w:rPr>
        <w:t>Lutte contre l’exploitation forestière illégale</w:t>
      </w:r>
    </w:p>
    <w:p w14:paraId="27842102" w14:textId="77777777" w:rsidR="00CC204D" w:rsidRPr="00682A96" w:rsidRDefault="009D1CCE" w:rsidP="00FD79E5">
      <w:pPr>
        <w:spacing w:line="276" w:lineRule="auto"/>
        <w:ind w:left="426"/>
        <w:jc w:val="center"/>
        <w:rPr>
          <w:b/>
          <w:bCs/>
        </w:rPr>
      </w:pPr>
      <w:r w:rsidRPr="00682A96">
        <w:rPr>
          <w:b/>
          <w:bCs/>
        </w:rPr>
        <w:t>ALEFI</w:t>
      </w:r>
    </w:p>
    <w:p w14:paraId="12F3163B" w14:textId="77777777" w:rsidR="000460B6" w:rsidRPr="00682A96" w:rsidRDefault="000460B6" w:rsidP="00FD79E5">
      <w:pPr>
        <w:spacing w:line="276" w:lineRule="auto"/>
        <w:ind w:left="426"/>
        <w:jc w:val="center"/>
        <w:rPr>
          <w:b/>
          <w:bCs/>
        </w:rPr>
      </w:pPr>
    </w:p>
    <w:p w14:paraId="12A89A5F" w14:textId="407FF673" w:rsidR="000460B6" w:rsidRPr="00682A96" w:rsidRDefault="00A57912" w:rsidP="00FD79E5">
      <w:pPr>
        <w:spacing w:line="276" w:lineRule="auto"/>
        <w:jc w:val="center"/>
        <w:rPr>
          <w:b/>
          <w:lang w:val="fr-FR"/>
        </w:rPr>
      </w:pPr>
      <w:r>
        <w:rPr>
          <w:b/>
          <w:lang w:val="fr-FR"/>
        </w:rPr>
        <w:t>Rapport Mensuel</w:t>
      </w:r>
      <w:r w:rsidR="00896B83">
        <w:rPr>
          <w:b/>
          <w:lang w:val="fr-FR"/>
        </w:rPr>
        <w:t xml:space="preserve"> Déc</w:t>
      </w:r>
      <w:r w:rsidR="004F36EA">
        <w:rPr>
          <w:b/>
          <w:lang w:val="fr-FR"/>
        </w:rPr>
        <w:t>embre</w:t>
      </w:r>
      <w:r w:rsidR="00132E04">
        <w:rPr>
          <w:b/>
          <w:lang w:val="fr-FR"/>
        </w:rPr>
        <w:t xml:space="preserve"> 202</w:t>
      </w:r>
      <w:r w:rsidR="002D3C70">
        <w:rPr>
          <w:b/>
          <w:lang w:val="fr-FR"/>
        </w:rPr>
        <w:t>4</w:t>
      </w:r>
    </w:p>
    <w:p w14:paraId="6936E62E" w14:textId="77777777" w:rsidR="000460B6" w:rsidRPr="00682A96" w:rsidRDefault="000460B6" w:rsidP="00FD79E5">
      <w:pPr>
        <w:spacing w:line="276" w:lineRule="auto"/>
        <w:jc w:val="center"/>
        <w:rPr>
          <w:lang w:val="fr-FR"/>
        </w:rPr>
      </w:pPr>
      <w:r w:rsidRPr="00682A96">
        <w:rPr>
          <w:lang w:val="fr-FR"/>
        </w:rPr>
        <w:t>Conservation Justice</w:t>
      </w:r>
    </w:p>
    <w:p w14:paraId="7A297156" w14:textId="77777777" w:rsidR="000460B6" w:rsidRPr="00682A96" w:rsidRDefault="000460B6" w:rsidP="00FD79E5">
      <w:pPr>
        <w:spacing w:line="276" w:lineRule="auto"/>
        <w:ind w:left="426"/>
        <w:jc w:val="both"/>
        <w:rPr>
          <w:rStyle w:val="Accentuation"/>
          <w:b/>
          <w:bCs/>
        </w:rPr>
      </w:pPr>
    </w:p>
    <w:p w14:paraId="22EDEF66" w14:textId="77777777" w:rsidR="000460B6" w:rsidRPr="00682A96" w:rsidRDefault="006A575E" w:rsidP="00FD79E5">
      <w:pPr>
        <w:spacing w:line="276" w:lineRule="auto"/>
        <w:jc w:val="center"/>
        <w:rPr>
          <w:rStyle w:val="Accentuation"/>
          <w:i w:val="0"/>
        </w:rPr>
      </w:pPr>
      <w:r w:rsidRPr="00682A96">
        <w:rPr>
          <w:rStyle w:val="Accentuation"/>
          <w:i w:val="0"/>
        </w:rPr>
        <w:t>SOMMAIRE</w:t>
      </w:r>
    </w:p>
    <w:p w14:paraId="1D05D8F9" w14:textId="77777777" w:rsidR="00CC204D" w:rsidRPr="00682A96" w:rsidRDefault="00CC204D" w:rsidP="00FD79E5">
      <w:pPr>
        <w:spacing w:line="276" w:lineRule="auto"/>
        <w:jc w:val="both"/>
        <w:rPr>
          <w:rStyle w:val="Accentuation"/>
          <w:i w:val="0"/>
        </w:rPr>
      </w:pPr>
    </w:p>
    <w:p w14:paraId="046195C9" w14:textId="65A7031C" w:rsidR="00142035" w:rsidRPr="00682A96" w:rsidRDefault="00113A5A" w:rsidP="00FD79E5">
      <w:pPr>
        <w:pStyle w:val="TM1"/>
        <w:spacing w:line="276" w:lineRule="auto"/>
        <w:jc w:val="both"/>
        <w:rPr>
          <w:rFonts w:eastAsiaTheme="minorEastAsia"/>
          <w:lang w:val="fr-FR" w:eastAsia="fr-FR" w:bidi="ar-SA"/>
        </w:rPr>
      </w:pPr>
      <w:r w:rsidRPr="00682A96">
        <w:rPr>
          <w:rStyle w:val="Accentuation"/>
          <w:i w:val="0"/>
        </w:rPr>
        <w:fldChar w:fldCharType="begin"/>
      </w:r>
      <w:r w:rsidR="00142035" w:rsidRPr="00682A96">
        <w:rPr>
          <w:rStyle w:val="Accentuation"/>
          <w:i w:val="0"/>
        </w:rPr>
        <w:instrText xml:space="preserve"> TOC \o "1-3" \h \z \u </w:instrText>
      </w:r>
      <w:r w:rsidRPr="00682A96">
        <w:rPr>
          <w:rStyle w:val="Accentuation"/>
          <w:i w:val="0"/>
        </w:rPr>
        <w:fldChar w:fldCharType="separate"/>
      </w:r>
      <w:hyperlink w:anchor="_Toc118989098" w:history="1">
        <w:r w:rsidR="00142035" w:rsidRPr="00682A96">
          <w:rPr>
            <w:rStyle w:val="Lienhypertexte"/>
            <w:i/>
          </w:rPr>
          <w:t>1. Points principaux</w:t>
        </w:r>
        <w:r w:rsidR="00142035" w:rsidRPr="00682A96">
          <w:rPr>
            <w:webHidden/>
          </w:rPr>
          <w:tab/>
        </w:r>
        <w:r w:rsidRPr="00682A96">
          <w:rPr>
            <w:webHidden/>
          </w:rPr>
          <w:fldChar w:fldCharType="begin"/>
        </w:r>
        <w:r w:rsidR="00142035" w:rsidRPr="00682A96">
          <w:rPr>
            <w:webHidden/>
          </w:rPr>
          <w:instrText xml:space="preserve"> PAGEREF _Toc118989098 \h </w:instrText>
        </w:r>
        <w:r w:rsidRPr="00682A96">
          <w:rPr>
            <w:webHidden/>
          </w:rPr>
        </w:r>
        <w:r w:rsidRPr="00682A96">
          <w:rPr>
            <w:webHidden/>
          </w:rPr>
          <w:fldChar w:fldCharType="separate"/>
        </w:r>
        <w:r w:rsidR="00B13206">
          <w:rPr>
            <w:webHidden/>
          </w:rPr>
          <w:t>2</w:t>
        </w:r>
        <w:r w:rsidRPr="00682A96">
          <w:rPr>
            <w:webHidden/>
          </w:rPr>
          <w:fldChar w:fldCharType="end"/>
        </w:r>
      </w:hyperlink>
    </w:p>
    <w:p w14:paraId="2EBC04E1" w14:textId="0533E4CD" w:rsidR="00142035" w:rsidRPr="00682A96" w:rsidRDefault="00142035" w:rsidP="00FD79E5">
      <w:pPr>
        <w:pStyle w:val="TM1"/>
        <w:spacing w:line="276" w:lineRule="auto"/>
        <w:jc w:val="both"/>
        <w:rPr>
          <w:rFonts w:eastAsiaTheme="minorEastAsia"/>
          <w:lang w:val="fr-FR" w:eastAsia="fr-FR" w:bidi="ar-SA"/>
        </w:rPr>
      </w:pPr>
      <w:hyperlink w:anchor="_Toc118989099" w:history="1">
        <w:r w:rsidRPr="00682A96">
          <w:rPr>
            <w:rStyle w:val="Lienhypertexte"/>
            <w:i/>
            <w:iCs/>
          </w:rPr>
          <w:t>2. Investigations</w:t>
        </w:r>
        <w:r w:rsidRPr="00682A96">
          <w:rPr>
            <w:webHidden/>
          </w:rPr>
          <w:tab/>
        </w:r>
        <w:r w:rsidR="00113A5A" w:rsidRPr="00682A96">
          <w:rPr>
            <w:webHidden/>
          </w:rPr>
          <w:fldChar w:fldCharType="begin"/>
        </w:r>
        <w:r w:rsidRPr="00682A96">
          <w:rPr>
            <w:webHidden/>
          </w:rPr>
          <w:instrText xml:space="preserve"> PAGEREF _Toc118989099 \h </w:instrText>
        </w:r>
        <w:r w:rsidR="00113A5A" w:rsidRPr="00682A96">
          <w:rPr>
            <w:webHidden/>
          </w:rPr>
        </w:r>
        <w:r w:rsidR="00113A5A" w:rsidRPr="00682A96">
          <w:rPr>
            <w:webHidden/>
          </w:rPr>
          <w:fldChar w:fldCharType="separate"/>
        </w:r>
        <w:r w:rsidR="00B13206">
          <w:rPr>
            <w:webHidden/>
          </w:rPr>
          <w:t>2</w:t>
        </w:r>
        <w:r w:rsidR="00113A5A" w:rsidRPr="00682A96">
          <w:rPr>
            <w:webHidden/>
          </w:rPr>
          <w:fldChar w:fldCharType="end"/>
        </w:r>
      </w:hyperlink>
    </w:p>
    <w:p w14:paraId="7E1402CD" w14:textId="1EBEE883" w:rsidR="00142035" w:rsidRPr="00682A96" w:rsidRDefault="00142035" w:rsidP="00FD79E5">
      <w:pPr>
        <w:pStyle w:val="TM1"/>
        <w:spacing w:line="276" w:lineRule="auto"/>
        <w:jc w:val="both"/>
        <w:rPr>
          <w:rFonts w:eastAsiaTheme="minorEastAsia"/>
          <w:lang w:val="fr-FR" w:eastAsia="fr-FR" w:bidi="ar-SA"/>
        </w:rPr>
      </w:pPr>
      <w:hyperlink w:anchor="_Toc118989100" w:history="1">
        <w:r w:rsidRPr="00682A96">
          <w:rPr>
            <w:rStyle w:val="Lienhypertexte"/>
            <w:i/>
          </w:rPr>
          <w:t>3. Opérations</w:t>
        </w:r>
        <w:r w:rsidRPr="00682A96">
          <w:rPr>
            <w:webHidden/>
          </w:rPr>
          <w:tab/>
        </w:r>
        <w:r w:rsidR="00113A5A" w:rsidRPr="00682A96">
          <w:rPr>
            <w:webHidden/>
          </w:rPr>
          <w:fldChar w:fldCharType="begin"/>
        </w:r>
        <w:r w:rsidRPr="00682A96">
          <w:rPr>
            <w:webHidden/>
          </w:rPr>
          <w:instrText xml:space="preserve"> PAGEREF _Toc118989100 \h </w:instrText>
        </w:r>
        <w:r w:rsidR="00113A5A" w:rsidRPr="00682A96">
          <w:rPr>
            <w:webHidden/>
          </w:rPr>
        </w:r>
        <w:r w:rsidR="00113A5A" w:rsidRPr="00682A96">
          <w:rPr>
            <w:webHidden/>
          </w:rPr>
          <w:fldChar w:fldCharType="separate"/>
        </w:r>
        <w:r w:rsidR="00B13206">
          <w:rPr>
            <w:webHidden/>
          </w:rPr>
          <w:t>2</w:t>
        </w:r>
        <w:r w:rsidR="00113A5A" w:rsidRPr="00682A96">
          <w:rPr>
            <w:webHidden/>
          </w:rPr>
          <w:fldChar w:fldCharType="end"/>
        </w:r>
      </w:hyperlink>
    </w:p>
    <w:p w14:paraId="60BC7539" w14:textId="365180DD" w:rsidR="00142035" w:rsidRPr="00682A96" w:rsidRDefault="00142035" w:rsidP="00FD79E5">
      <w:pPr>
        <w:pStyle w:val="TM1"/>
        <w:spacing w:line="276" w:lineRule="auto"/>
        <w:jc w:val="both"/>
        <w:rPr>
          <w:rFonts w:eastAsiaTheme="minorEastAsia"/>
          <w:lang w:val="fr-FR" w:eastAsia="fr-FR" w:bidi="ar-SA"/>
        </w:rPr>
      </w:pPr>
      <w:hyperlink w:anchor="_Toc118989101" w:history="1">
        <w:r w:rsidRPr="00682A96">
          <w:rPr>
            <w:rStyle w:val="Lienhypertexte"/>
            <w:i/>
            <w:iCs/>
          </w:rPr>
          <w:t>4. Département juridique</w:t>
        </w:r>
        <w:r w:rsidRPr="00682A96">
          <w:rPr>
            <w:webHidden/>
          </w:rPr>
          <w:tab/>
        </w:r>
        <w:r w:rsidR="00113A5A" w:rsidRPr="00682A96">
          <w:rPr>
            <w:webHidden/>
          </w:rPr>
          <w:fldChar w:fldCharType="begin"/>
        </w:r>
        <w:r w:rsidRPr="00682A96">
          <w:rPr>
            <w:webHidden/>
          </w:rPr>
          <w:instrText xml:space="preserve"> PAGEREF _Toc118989101 \h </w:instrText>
        </w:r>
        <w:r w:rsidR="00113A5A" w:rsidRPr="00682A96">
          <w:rPr>
            <w:webHidden/>
          </w:rPr>
        </w:r>
        <w:r w:rsidR="00113A5A" w:rsidRPr="00682A96">
          <w:rPr>
            <w:webHidden/>
          </w:rPr>
          <w:fldChar w:fldCharType="separate"/>
        </w:r>
        <w:r w:rsidR="00B13206">
          <w:rPr>
            <w:webHidden/>
          </w:rPr>
          <w:t>2</w:t>
        </w:r>
        <w:r w:rsidR="00113A5A" w:rsidRPr="00682A96">
          <w:rPr>
            <w:webHidden/>
          </w:rPr>
          <w:fldChar w:fldCharType="end"/>
        </w:r>
      </w:hyperlink>
    </w:p>
    <w:p w14:paraId="38E9E433" w14:textId="19CF67E0" w:rsidR="00142035" w:rsidRPr="00682A96" w:rsidRDefault="00142035" w:rsidP="00FD79E5">
      <w:pPr>
        <w:pStyle w:val="TM1"/>
        <w:spacing w:line="276" w:lineRule="auto"/>
        <w:jc w:val="both"/>
        <w:rPr>
          <w:rFonts w:eastAsiaTheme="minorEastAsia"/>
          <w:lang w:val="fr-FR" w:eastAsia="fr-FR" w:bidi="ar-SA"/>
        </w:rPr>
      </w:pPr>
      <w:hyperlink w:anchor="_Toc118989102" w:history="1">
        <w:r w:rsidRPr="00682A96">
          <w:rPr>
            <w:rStyle w:val="Lienhypertexte"/>
            <w:i/>
          </w:rPr>
          <w:t>5. Missions</w:t>
        </w:r>
        <w:r w:rsidRPr="00682A96">
          <w:rPr>
            <w:webHidden/>
          </w:rPr>
          <w:tab/>
        </w:r>
        <w:r w:rsidR="00113A5A" w:rsidRPr="00682A96">
          <w:rPr>
            <w:webHidden/>
          </w:rPr>
          <w:fldChar w:fldCharType="begin"/>
        </w:r>
        <w:r w:rsidRPr="00682A96">
          <w:rPr>
            <w:webHidden/>
          </w:rPr>
          <w:instrText xml:space="preserve"> PAGEREF _Toc118989102 \h </w:instrText>
        </w:r>
        <w:r w:rsidR="00113A5A" w:rsidRPr="00682A96">
          <w:rPr>
            <w:webHidden/>
          </w:rPr>
        </w:r>
        <w:r w:rsidR="00113A5A" w:rsidRPr="00682A96">
          <w:rPr>
            <w:webHidden/>
          </w:rPr>
          <w:fldChar w:fldCharType="separate"/>
        </w:r>
        <w:r w:rsidR="00B13206">
          <w:rPr>
            <w:webHidden/>
          </w:rPr>
          <w:t>3</w:t>
        </w:r>
        <w:r w:rsidR="00113A5A" w:rsidRPr="00682A96">
          <w:rPr>
            <w:webHidden/>
          </w:rPr>
          <w:fldChar w:fldCharType="end"/>
        </w:r>
      </w:hyperlink>
    </w:p>
    <w:p w14:paraId="7FE43FDB" w14:textId="19805B9F" w:rsidR="00142035" w:rsidRPr="00682A96" w:rsidRDefault="00142035" w:rsidP="00FD79E5">
      <w:pPr>
        <w:pStyle w:val="TM1"/>
        <w:spacing w:line="276" w:lineRule="auto"/>
        <w:jc w:val="both"/>
        <w:rPr>
          <w:rFonts w:eastAsiaTheme="minorEastAsia"/>
          <w:lang w:val="fr-FR" w:eastAsia="fr-FR" w:bidi="ar-SA"/>
        </w:rPr>
      </w:pPr>
      <w:hyperlink w:anchor="_Toc118989103" w:history="1">
        <w:r w:rsidRPr="00682A96">
          <w:rPr>
            <w:rStyle w:val="Lienhypertexte"/>
            <w:i/>
            <w:iCs/>
          </w:rPr>
          <w:t>6. Cahiers des Charges Contractuels</w:t>
        </w:r>
        <w:r w:rsidRPr="00682A96">
          <w:rPr>
            <w:webHidden/>
          </w:rPr>
          <w:tab/>
        </w:r>
        <w:r w:rsidR="00DC31A9">
          <w:rPr>
            <w:webHidden/>
          </w:rPr>
          <w:t>9</w:t>
        </w:r>
      </w:hyperlink>
    </w:p>
    <w:p w14:paraId="7272B1C3" w14:textId="14BF8CC7" w:rsidR="00142035" w:rsidRPr="00682A96" w:rsidRDefault="00142035" w:rsidP="00FD79E5">
      <w:pPr>
        <w:pStyle w:val="TM1"/>
        <w:spacing w:line="276" w:lineRule="auto"/>
        <w:jc w:val="both"/>
        <w:rPr>
          <w:rFonts w:eastAsiaTheme="minorEastAsia"/>
          <w:lang w:val="fr-FR" w:eastAsia="fr-FR" w:bidi="ar-SA"/>
        </w:rPr>
      </w:pPr>
      <w:hyperlink w:anchor="_Toc118989104" w:history="1">
        <w:r w:rsidRPr="00682A96">
          <w:rPr>
            <w:rStyle w:val="Lienhypertexte"/>
            <w:i/>
            <w:iCs/>
          </w:rPr>
          <w:t>7. Communication</w:t>
        </w:r>
        <w:r w:rsidRPr="00682A96">
          <w:rPr>
            <w:webHidden/>
          </w:rPr>
          <w:tab/>
        </w:r>
        <w:r w:rsidR="00DC31A9">
          <w:rPr>
            <w:webHidden/>
          </w:rPr>
          <w:t>9</w:t>
        </w:r>
      </w:hyperlink>
    </w:p>
    <w:p w14:paraId="351A73C3" w14:textId="75407006" w:rsidR="00142035" w:rsidRPr="00682A96" w:rsidRDefault="00142035" w:rsidP="00FD79E5">
      <w:pPr>
        <w:pStyle w:val="TM1"/>
        <w:spacing w:line="276" w:lineRule="auto"/>
        <w:jc w:val="both"/>
        <w:rPr>
          <w:rFonts w:eastAsiaTheme="minorEastAsia"/>
          <w:lang w:val="fr-FR" w:eastAsia="fr-FR" w:bidi="ar-SA"/>
        </w:rPr>
      </w:pPr>
      <w:hyperlink w:anchor="_Toc118989105" w:history="1">
        <w:r w:rsidRPr="00682A96">
          <w:rPr>
            <w:rStyle w:val="Lienhypertexte"/>
            <w:i/>
            <w:iCs/>
          </w:rPr>
          <w:t>8. Relations extérieures</w:t>
        </w:r>
        <w:r w:rsidRPr="00682A96">
          <w:rPr>
            <w:webHidden/>
          </w:rPr>
          <w:tab/>
        </w:r>
        <w:r w:rsidR="004F67EB">
          <w:rPr>
            <w:webHidden/>
          </w:rPr>
          <w:t>10</w:t>
        </w:r>
      </w:hyperlink>
    </w:p>
    <w:p w14:paraId="52D7C54C" w14:textId="310FC54C" w:rsidR="00142035" w:rsidRPr="00682A96" w:rsidRDefault="00142035" w:rsidP="00FD79E5">
      <w:pPr>
        <w:pStyle w:val="TM1"/>
        <w:spacing w:line="276" w:lineRule="auto"/>
        <w:jc w:val="both"/>
        <w:rPr>
          <w:rFonts w:eastAsiaTheme="minorEastAsia"/>
          <w:lang w:val="fr-FR" w:eastAsia="fr-FR" w:bidi="ar-SA"/>
        </w:rPr>
      </w:pPr>
      <w:hyperlink w:anchor="_Toc118989106" w:history="1">
        <w:r w:rsidRPr="00682A96">
          <w:rPr>
            <w:rStyle w:val="Lienhypertexte"/>
            <w:i/>
            <w:iCs/>
          </w:rPr>
          <w:t>9. Conclusion</w:t>
        </w:r>
        <w:r w:rsidRPr="00682A96">
          <w:rPr>
            <w:webHidden/>
          </w:rPr>
          <w:tab/>
        </w:r>
        <w:r w:rsidR="00DC31A9">
          <w:rPr>
            <w:webHidden/>
          </w:rPr>
          <w:t>10</w:t>
        </w:r>
      </w:hyperlink>
    </w:p>
    <w:p w14:paraId="3AB8DD0F" w14:textId="77777777" w:rsidR="00CC204D" w:rsidRPr="00682A96" w:rsidRDefault="00113A5A" w:rsidP="00FD79E5">
      <w:pPr>
        <w:spacing w:line="276" w:lineRule="auto"/>
        <w:jc w:val="both"/>
        <w:rPr>
          <w:rStyle w:val="Accentuation"/>
          <w:i w:val="0"/>
        </w:rPr>
      </w:pPr>
      <w:r w:rsidRPr="00682A96">
        <w:rPr>
          <w:rStyle w:val="Accentuation"/>
          <w:i w:val="0"/>
          <w:noProof/>
          <w:lang w:bidi="he-IL"/>
        </w:rPr>
        <w:fldChar w:fldCharType="end"/>
      </w:r>
    </w:p>
    <w:p w14:paraId="61056A3B" w14:textId="77777777" w:rsidR="00A0221B" w:rsidRPr="00682A96" w:rsidRDefault="00A0221B" w:rsidP="00FD79E5">
      <w:pPr>
        <w:tabs>
          <w:tab w:val="right" w:leader="dot" w:pos="9062"/>
        </w:tabs>
        <w:spacing w:line="276" w:lineRule="auto"/>
        <w:jc w:val="both"/>
        <w:rPr>
          <w:rStyle w:val="Accentuation"/>
          <w:i w:val="0"/>
        </w:rPr>
      </w:pPr>
    </w:p>
    <w:p w14:paraId="27C934D9" w14:textId="77777777" w:rsidR="00A0221B" w:rsidRPr="00682A96" w:rsidRDefault="00A0221B" w:rsidP="00FD79E5">
      <w:pPr>
        <w:tabs>
          <w:tab w:val="right" w:leader="dot" w:pos="9062"/>
        </w:tabs>
        <w:spacing w:line="276" w:lineRule="auto"/>
        <w:jc w:val="both"/>
        <w:rPr>
          <w:rStyle w:val="Accentuation"/>
        </w:rPr>
      </w:pPr>
    </w:p>
    <w:p w14:paraId="6CFD3362" w14:textId="77777777" w:rsidR="00F15FC2" w:rsidRPr="00682A96" w:rsidRDefault="00F15FC2" w:rsidP="00FD79E5">
      <w:pPr>
        <w:tabs>
          <w:tab w:val="left" w:pos="2680"/>
          <w:tab w:val="right" w:leader="dot" w:pos="9062"/>
        </w:tabs>
        <w:spacing w:line="276" w:lineRule="auto"/>
        <w:jc w:val="center"/>
        <w:rPr>
          <w:rStyle w:val="Accentuation"/>
          <w:i w:val="0"/>
        </w:rPr>
      </w:pPr>
      <w:r w:rsidRPr="00682A96">
        <w:rPr>
          <w:rStyle w:val="Accentuation"/>
          <w:i w:val="0"/>
          <w:noProof/>
          <w:lang w:val="en-US"/>
        </w:rPr>
        <w:drawing>
          <wp:inline distT="0" distB="0" distL="0" distR="0" wp14:anchorId="2A2FF79D" wp14:editId="0D3B173B">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48A92C8A" w14:textId="77777777" w:rsidR="00F15FC2" w:rsidRPr="00682A96" w:rsidRDefault="00F15FC2" w:rsidP="00FD79E5">
      <w:pPr>
        <w:tabs>
          <w:tab w:val="left" w:pos="2680"/>
          <w:tab w:val="right" w:leader="dot" w:pos="9062"/>
        </w:tabs>
        <w:spacing w:line="276" w:lineRule="auto"/>
        <w:jc w:val="center"/>
        <w:rPr>
          <w:rStyle w:val="Accentuation"/>
          <w:i w:val="0"/>
          <w:iCs w:val="0"/>
        </w:rPr>
      </w:pPr>
      <w:r w:rsidRPr="00682A96">
        <w:rPr>
          <w:rStyle w:val="Accentuation"/>
          <w:i w:val="0"/>
          <w:iCs w:val="0"/>
        </w:rPr>
        <w:t>Union européenne</w:t>
      </w:r>
    </w:p>
    <w:p w14:paraId="1D1E8061" w14:textId="77777777" w:rsidR="00F15FC2" w:rsidRPr="00682A96" w:rsidRDefault="00F15FC2" w:rsidP="00FD79E5">
      <w:pPr>
        <w:tabs>
          <w:tab w:val="left" w:pos="2680"/>
          <w:tab w:val="right" w:leader="dot" w:pos="9062"/>
        </w:tabs>
        <w:spacing w:line="276" w:lineRule="auto"/>
        <w:jc w:val="both"/>
        <w:rPr>
          <w:rStyle w:val="Accentuation"/>
          <w:i w:val="0"/>
        </w:rPr>
      </w:pPr>
    </w:p>
    <w:p w14:paraId="362FBF56" w14:textId="77777777" w:rsidR="00F15FC2" w:rsidRPr="00682A96" w:rsidRDefault="00F15FC2" w:rsidP="00FD79E5">
      <w:pPr>
        <w:tabs>
          <w:tab w:val="left" w:pos="2680"/>
          <w:tab w:val="right" w:leader="dot" w:pos="9062"/>
        </w:tabs>
        <w:spacing w:line="276" w:lineRule="auto"/>
        <w:jc w:val="both"/>
        <w:rPr>
          <w:rStyle w:val="Accentuation"/>
          <w:i w:val="0"/>
        </w:rPr>
      </w:pPr>
    </w:p>
    <w:p w14:paraId="60CC25A0" w14:textId="77777777" w:rsidR="00CC204D" w:rsidRPr="00682A96" w:rsidRDefault="00F15FC2" w:rsidP="00FD79E5">
      <w:pPr>
        <w:tabs>
          <w:tab w:val="left" w:pos="2680"/>
          <w:tab w:val="right" w:leader="dot" w:pos="9062"/>
        </w:tabs>
        <w:spacing w:line="276" w:lineRule="auto"/>
        <w:jc w:val="both"/>
        <w:rPr>
          <w:rStyle w:val="Accentuation"/>
          <w:i w:val="0"/>
        </w:rPr>
      </w:pPr>
      <w:r w:rsidRPr="00682A96">
        <w:rPr>
          <w:color w:val="000000"/>
          <w:lang w:eastAsia="fr-FR"/>
        </w:rPr>
        <w:t>Cette publication a été produite avec le soutien financier de l’Union européenne. Son contenu relève de la seule responsabilité de Conservation Justice et ne reflète pas nécessairement les opinions de l’Union européenne.</w:t>
      </w:r>
      <w:r w:rsidR="002B7E34">
        <w:rPr>
          <w:iCs/>
          <w:noProof/>
          <w:lang w:val="en-US"/>
        </w:rPr>
        <mc:AlternateContent>
          <mc:Choice Requires="wps">
            <w:drawing>
              <wp:anchor distT="0" distB="0" distL="0" distR="0" simplePos="0" relativeHeight="5" behindDoc="0" locked="0" layoutInCell="1" allowOverlap="1" wp14:anchorId="2EF6FA11" wp14:editId="53E42A8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5F0D16D5" w14:textId="77777777" w:rsidR="008C712A" w:rsidRDefault="008C71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FA11" id="Rectangle 2"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PE4A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" stroked="f">
                <v:textbox>
                  <w:txbxContent>
                    <w:p w14:paraId="5F0D16D5" w14:textId="77777777" w:rsidR="008C712A" w:rsidRDefault="008C712A"/>
                  </w:txbxContent>
                </v:textbox>
              </v:rect>
            </w:pict>
          </mc:Fallback>
        </mc:AlternateContent>
      </w:r>
      <w:r w:rsidR="002B7E34">
        <w:rPr>
          <w:iCs/>
          <w:noProof/>
          <w:lang w:val="en-US"/>
        </w:rPr>
        <mc:AlternateContent>
          <mc:Choice Requires="wps">
            <w:drawing>
              <wp:anchor distT="0" distB="0" distL="0" distR="0" simplePos="0" relativeHeight="3" behindDoc="0" locked="0" layoutInCell="1" allowOverlap="1" wp14:anchorId="73405A67" wp14:editId="06D907B3">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EC9A2"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" stroked="f">
                <v:path arrowok="t"/>
              </v:rect>
            </w:pict>
          </mc:Fallback>
        </mc:AlternateContent>
      </w:r>
      <w:r w:rsidR="006A575E" w:rsidRPr="00682A96">
        <w:rPr>
          <w:rStyle w:val="Accentuation"/>
          <w:i w:val="0"/>
        </w:rPr>
        <w:br w:type="page"/>
      </w:r>
    </w:p>
    <w:p w14:paraId="12CC4DBC" w14:textId="77777777" w:rsidR="009A5D44" w:rsidRPr="00682A96" w:rsidRDefault="006A575E" w:rsidP="00FD79E5">
      <w:pPr>
        <w:pStyle w:val="Titre1"/>
        <w:spacing w:line="276" w:lineRule="auto"/>
        <w:rPr>
          <w:rFonts w:ascii="Times New Roman" w:hAnsi="Times New Roman" w:cs="Times New Roman"/>
          <w:i/>
          <w:sz w:val="24"/>
          <w:szCs w:val="24"/>
        </w:rPr>
      </w:pPr>
      <w:bookmarkStart w:id="0" w:name="_Toc118989098"/>
      <w:r w:rsidRPr="00682A96">
        <w:rPr>
          <w:rStyle w:val="Accentuation"/>
          <w:rFonts w:ascii="Times New Roman" w:hAnsi="Times New Roman" w:cs="Times New Roman"/>
          <w:iCs w:val="0"/>
          <w:sz w:val="24"/>
          <w:szCs w:val="24"/>
        </w:rPr>
        <w:lastRenderedPageBreak/>
        <w:t>1. Points principaux</w:t>
      </w:r>
      <w:bookmarkEnd w:id="0"/>
    </w:p>
    <w:p w14:paraId="42CEDA45" w14:textId="77777777" w:rsidR="0027392E" w:rsidRPr="00682A96" w:rsidRDefault="0027392E" w:rsidP="00FD79E5">
      <w:pPr>
        <w:spacing w:line="276" w:lineRule="auto"/>
        <w:jc w:val="both"/>
        <w:rPr>
          <w:color w:val="000000"/>
          <w:lang w:eastAsia="fr-FR"/>
        </w:rPr>
      </w:pPr>
    </w:p>
    <w:p w14:paraId="654557A0" w14:textId="0553890E" w:rsidR="00B333EA" w:rsidRDefault="00B333EA" w:rsidP="00FD79E5">
      <w:pPr>
        <w:pStyle w:val="Paragraphedeliste"/>
        <w:numPr>
          <w:ilvl w:val="0"/>
          <w:numId w:val="39"/>
        </w:numPr>
        <w:spacing w:line="276" w:lineRule="auto"/>
        <w:jc w:val="both"/>
      </w:pPr>
      <w:r>
        <w:t>Du 12 au 21</w:t>
      </w:r>
      <w:r w:rsidR="00220E1E">
        <w:t xml:space="preserve"> décembre </w:t>
      </w:r>
      <w:r>
        <w:t>2024, une mission sociale a été organisée dans la province de l’Ogooué-Ivindo.</w:t>
      </w:r>
    </w:p>
    <w:p w14:paraId="11D7AA41" w14:textId="0E9CE310" w:rsidR="00B333EA" w:rsidRDefault="00B333EA" w:rsidP="00FD79E5">
      <w:pPr>
        <w:pStyle w:val="Paragraphedeliste"/>
        <w:numPr>
          <w:ilvl w:val="0"/>
          <w:numId w:val="39"/>
        </w:numPr>
        <w:spacing w:line="276" w:lineRule="auto"/>
        <w:jc w:val="both"/>
      </w:pPr>
      <w:r>
        <w:t>Du 20 au 24</w:t>
      </w:r>
      <w:r w:rsidR="00220E1E">
        <w:t xml:space="preserve"> décembre </w:t>
      </w:r>
      <w:r>
        <w:t>2024, une mission sociale a été organisée dans la province de la Ngounié</w:t>
      </w:r>
      <w:r w:rsidR="00220E1E">
        <w:t>.</w:t>
      </w:r>
    </w:p>
    <w:p w14:paraId="0E0F1A35" w14:textId="77777777" w:rsidR="00B333EA" w:rsidRDefault="00B333EA" w:rsidP="00FD79E5">
      <w:pPr>
        <w:spacing w:line="276" w:lineRule="auto"/>
        <w:jc w:val="both"/>
      </w:pPr>
    </w:p>
    <w:p w14:paraId="74BBC5B9" w14:textId="77777777" w:rsidR="0027392E" w:rsidRPr="00682A96" w:rsidRDefault="0027392E" w:rsidP="00FD79E5">
      <w:pPr>
        <w:spacing w:line="276" w:lineRule="auto"/>
        <w:jc w:val="both"/>
        <w:rPr>
          <w:rStyle w:val="Accentuation"/>
          <w:b/>
          <w:i w:val="0"/>
        </w:rPr>
      </w:pPr>
    </w:p>
    <w:p w14:paraId="629D4683" w14:textId="77777777" w:rsidR="000A591E" w:rsidRPr="00682A96" w:rsidRDefault="000A591E" w:rsidP="00FD79E5">
      <w:pPr>
        <w:pStyle w:val="Titre1"/>
        <w:spacing w:line="276" w:lineRule="auto"/>
        <w:rPr>
          <w:rStyle w:val="Accentuation"/>
          <w:rFonts w:ascii="Times New Roman" w:hAnsi="Times New Roman" w:cs="Times New Roman"/>
          <w:b w:val="0"/>
          <w:i w:val="0"/>
          <w:sz w:val="24"/>
          <w:szCs w:val="24"/>
        </w:rPr>
      </w:pPr>
      <w:bookmarkStart w:id="1" w:name="_Toc118989099"/>
      <w:r w:rsidRPr="00682A96">
        <w:rPr>
          <w:rStyle w:val="Accentuation"/>
          <w:rFonts w:ascii="Times New Roman" w:hAnsi="Times New Roman" w:cs="Times New Roman"/>
          <w:sz w:val="24"/>
          <w:szCs w:val="24"/>
        </w:rPr>
        <w:t>2. Investigations</w:t>
      </w:r>
      <w:bookmarkEnd w:id="1"/>
    </w:p>
    <w:p w14:paraId="46A6F69E" w14:textId="77777777" w:rsidR="000A591E" w:rsidRPr="00682A96" w:rsidRDefault="000A591E" w:rsidP="00FD79E5">
      <w:pPr>
        <w:spacing w:line="276" w:lineRule="auto"/>
        <w:jc w:val="both"/>
        <w:rPr>
          <w:rStyle w:val="Accentuation"/>
          <w:b/>
          <w:i w:val="0"/>
        </w:rPr>
      </w:pPr>
    </w:p>
    <w:p w14:paraId="0E4FDBE0" w14:textId="60C7624F" w:rsidR="000A591E" w:rsidRPr="00682A96" w:rsidRDefault="000A591E" w:rsidP="00FD79E5">
      <w:pPr>
        <w:spacing w:after="240" w:line="276" w:lineRule="auto"/>
        <w:jc w:val="both"/>
        <w:rPr>
          <w:i/>
          <w:lang w:val="fr-FR"/>
        </w:rPr>
      </w:pPr>
      <w:r w:rsidRPr="00682A96">
        <w:rPr>
          <w:i/>
          <w:lang w:val="fr-FR"/>
        </w:rPr>
        <w:t>Indicateurs :</w:t>
      </w:r>
      <w:r w:rsidR="00CC78F0">
        <w:rPr>
          <w:i/>
          <w:lang w:val="fr-FR"/>
        </w:rPr>
        <w:t xml:space="preserve"> </w:t>
      </w:r>
    </w:p>
    <w:tbl>
      <w:tblPr>
        <w:tblStyle w:val="Grilledetableauclaire2"/>
        <w:tblW w:w="0" w:type="auto"/>
        <w:tblLook w:val="04A0" w:firstRow="1" w:lastRow="0" w:firstColumn="1" w:lastColumn="0" w:noHBand="0" w:noVBand="1"/>
      </w:tblPr>
      <w:tblGrid>
        <w:gridCol w:w="4474"/>
        <w:gridCol w:w="4445"/>
      </w:tblGrid>
      <w:tr w:rsidR="000A591E" w:rsidRPr="00682A96" w14:paraId="39D83472" w14:textId="77777777" w:rsidTr="004E4D64">
        <w:tc>
          <w:tcPr>
            <w:tcW w:w="4531" w:type="dxa"/>
          </w:tcPr>
          <w:p w14:paraId="28B2D700" w14:textId="77777777" w:rsidR="000A591E" w:rsidRPr="00682A96" w:rsidRDefault="000A591E" w:rsidP="00FD79E5">
            <w:pPr>
              <w:spacing w:line="276" w:lineRule="auto"/>
              <w:jc w:val="both"/>
              <w:rPr>
                <w:i/>
                <w:lang w:val="fr-FR"/>
              </w:rPr>
            </w:pPr>
            <w:r w:rsidRPr="00682A96">
              <w:rPr>
                <w:i/>
                <w:lang w:val="fr-FR"/>
              </w:rPr>
              <w:t>Nombre d’investigations menées</w:t>
            </w:r>
          </w:p>
        </w:tc>
        <w:tc>
          <w:tcPr>
            <w:tcW w:w="4531" w:type="dxa"/>
          </w:tcPr>
          <w:p w14:paraId="6FEEDE6F" w14:textId="3C2DFC05" w:rsidR="000A591E" w:rsidRPr="00682A96" w:rsidRDefault="00B840FF" w:rsidP="00FD79E5">
            <w:pPr>
              <w:spacing w:line="276" w:lineRule="auto"/>
              <w:jc w:val="both"/>
              <w:rPr>
                <w:i/>
                <w:highlight w:val="yellow"/>
                <w:lang w:val="fr-FR"/>
              </w:rPr>
            </w:pPr>
            <w:r>
              <w:rPr>
                <w:i/>
                <w:lang w:val="fr-FR"/>
              </w:rPr>
              <w:t>1</w:t>
            </w:r>
          </w:p>
        </w:tc>
      </w:tr>
      <w:tr w:rsidR="000A591E" w:rsidRPr="00682A96" w14:paraId="05B791CA" w14:textId="77777777" w:rsidTr="004E4D64">
        <w:tc>
          <w:tcPr>
            <w:tcW w:w="4531" w:type="dxa"/>
          </w:tcPr>
          <w:p w14:paraId="3660D773" w14:textId="77777777" w:rsidR="000A591E" w:rsidRPr="00682A96" w:rsidRDefault="000A591E" w:rsidP="00FD79E5">
            <w:pPr>
              <w:spacing w:line="276" w:lineRule="auto"/>
              <w:jc w:val="both"/>
              <w:rPr>
                <w:i/>
                <w:lang w:val="fr-FR"/>
              </w:rPr>
            </w:pPr>
            <w:r w:rsidRPr="00682A96">
              <w:rPr>
                <w:i/>
                <w:lang w:val="fr-FR"/>
              </w:rPr>
              <w:t>Investigation ayant menées à une opération</w:t>
            </w:r>
          </w:p>
        </w:tc>
        <w:tc>
          <w:tcPr>
            <w:tcW w:w="4531" w:type="dxa"/>
          </w:tcPr>
          <w:p w14:paraId="3C362F0B" w14:textId="5DF4FA59" w:rsidR="000A591E" w:rsidRPr="00682A96" w:rsidRDefault="00491C7E" w:rsidP="00FD79E5">
            <w:pPr>
              <w:spacing w:line="276" w:lineRule="auto"/>
              <w:jc w:val="both"/>
              <w:rPr>
                <w:i/>
                <w:highlight w:val="yellow"/>
                <w:lang w:val="fr-FR"/>
              </w:rPr>
            </w:pPr>
            <w:r w:rsidRPr="00491C7E">
              <w:rPr>
                <w:i/>
                <w:lang w:val="fr-FR"/>
              </w:rPr>
              <w:t>0</w:t>
            </w:r>
          </w:p>
        </w:tc>
      </w:tr>
      <w:tr w:rsidR="000A591E" w:rsidRPr="00682A96" w14:paraId="3DAFE704" w14:textId="77777777" w:rsidTr="004E4D64">
        <w:tc>
          <w:tcPr>
            <w:tcW w:w="4531" w:type="dxa"/>
          </w:tcPr>
          <w:p w14:paraId="6E60AF39" w14:textId="77777777" w:rsidR="000A591E" w:rsidRPr="00682A96" w:rsidRDefault="000A591E" w:rsidP="00FD79E5">
            <w:pPr>
              <w:spacing w:line="276" w:lineRule="auto"/>
              <w:jc w:val="both"/>
              <w:rPr>
                <w:i/>
                <w:lang w:val="fr-FR"/>
              </w:rPr>
            </w:pPr>
            <w:r w:rsidRPr="00682A96">
              <w:rPr>
                <w:i/>
                <w:lang w:val="fr-FR"/>
              </w:rPr>
              <w:t xml:space="preserve">Nombre de </w:t>
            </w:r>
            <w:r w:rsidR="00600EA8" w:rsidRPr="00682A96">
              <w:rPr>
                <w:i/>
                <w:lang w:val="fr-FR"/>
              </w:rPr>
              <w:t>contrevenants</w:t>
            </w:r>
            <w:r w:rsidRPr="00682A96">
              <w:rPr>
                <w:i/>
                <w:lang w:val="fr-FR"/>
              </w:rPr>
              <w:t xml:space="preserve"> identifiés</w:t>
            </w:r>
          </w:p>
        </w:tc>
        <w:tc>
          <w:tcPr>
            <w:tcW w:w="4531" w:type="dxa"/>
          </w:tcPr>
          <w:p w14:paraId="0E2F0A6E" w14:textId="006D4B48" w:rsidR="000A591E" w:rsidRPr="00682A96" w:rsidRDefault="00491C7E" w:rsidP="00FD79E5">
            <w:pPr>
              <w:spacing w:line="276" w:lineRule="auto"/>
              <w:jc w:val="both"/>
              <w:rPr>
                <w:i/>
                <w:lang w:val="fr-FR"/>
              </w:rPr>
            </w:pPr>
            <w:r>
              <w:rPr>
                <w:i/>
                <w:lang w:val="fr-FR"/>
              </w:rPr>
              <w:t>0</w:t>
            </w:r>
          </w:p>
        </w:tc>
      </w:tr>
    </w:tbl>
    <w:p w14:paraId="203E621E" w14:textId="77777777" w:rsidR="00735BB7" w:rsidRDefault="00735BB7" w:rsidP="00FD79E5">
      <w:pPr>
        <w:spacing w:line="276" w:lineRule="auto"/>
        <w:jc w:val="both"/>
        <w:rPr>
          <w:rStyle w:val="Accentuation"/>
          <w:i w:val="0"/>
          <w:lang w:val="fr-FR"/>
        </w:rPr>
      </w:pPr>
    </w:p>
    <w:p w14:paraId="6FC640FD" w14:textId="2E8CFA27" w:rsidR="00491C7E" w:rsidRPr="00E623CE" w:rsidRDefault="00BB7D9C" w:rsidP="00FD79E5">
      <w:pPr>
        <w:spacing w:line="276" w:lineRule="auto"/>
        <w:jc w:val="both"/>
        <w:rPr>
          <w:rFonts w:eastAsiaTheme="minorHAnsi"/>
          <w:b/>
          <w:kern w:val="2"/>
        </w:rPr>
      </w:pPr>
      <w:r>
        <w:t>Au cours d</w:t>
      </w:r>
      <w:r w:rsidR="00FD79E5">
        <w:t>u</w:t>
      </w:r>
      <w:r>
        <w:t xml:space="preserve"> mois</w:t>
      </w:r>
      <w:r w:rsidR="00FD79E5">
        <w:t xml:space="preserve"> de</w:t>
      </w:r>
      <w:r>
        <w:t xml:space="preserve"> </w:t>
      </w:r>
      <w:r w:rsidR="00FD79E5">
        <w:t>d</w:t>
      </w:r>
      <w:r>
        <w:t>éc</w:t>
      </w:r>
      <w:r w:rsidR="004F36EA">
        <w:t>embre</w:t>
      </w:r>
      <w:r w:rsidR="009C17F9">
        <w:t xml:space="preserve">, </w:t>
      </w:r>
      <w:r w:rsidR="00B840FF">
        <w:rPr>
          <w:lang w:val="fr-FR"/>
        </w:rPr>
        <w:t>l</w:t>
      </w:r>
      <w:r w:rsidR="00B840FF" w:rsidRPr="00B840FF">
        <w:rPr>
          <w:lang w:val="fr-FR"/>
        </w:rPr>
        <w:t>’équipe sociale nord a mené une investigation au village Akoba afin de déceler des incohérences liées à la gestion de la forêt communautaire.</w:t>
      </w:r>
      <w:r w:rsidR="00B840FF">
        <w:rPr>
          <w:i/>
          <w:lang w:val="fr-FR"/>
        </w:rPr>
        <w:t xml:space="preserve">  </w:t>
      </w:r>
    </w:p>
    <w:p w14:paraId="1514A569" w14:textId="77777777" w:rsidR="00D73275" w:rsidRPr="00491C7E" w:rsidRDefault="00D73275" w:rsidP="00FD79E5">
      <w:pPr>
        <w:spacing w:line="276" w:lineRule="auto"/>
        <w:jc w:val="both"/>
        <w:rPr>
          <w:rStyle w:val="Accentuation"/>
          <w:i w:val="0"/>
        </w:rPr>
      </w:pPr>
    </w:p>
    <w:p w14:paraId="541A5ED2" w14:textId="77777777" w:rsidR="000A591E" w:rsidRPr="00682A96" w:rsidRDefault="000A591E" w:rsidP="00FD79E5">
      <w:pPr>
        <w:pStyle w:val="Titre1"/>
        <w:spacing w:line="276" w:lineRule="auto"/>
        <w:rPr>
          <w:rStyle w:val="Accentuation"/>
          <w:rFonts w:ascii="Times New Roman" w:hAnsi="Times New Roman" w:cs="Times New Roman"/>
          <w:iCs w:val="0"/>
          <w:sz w:val="24"/>
          <w:szCs w:val="24"/>
        </w:rPr>
      </w:pPr>
      <w:bookmarkStart w:id="2" w:name="_Toc118989100"/>
      <w:r w:rsidRPr="00682A96">
        <w:rPr>
          <w:rStyle w:val="Accentuation"/>
          <w:rFonts w:ascii="Times New Roman" w:hAnsi="Times New Roman" w:cs="Times New Roman"/>
          <w:iCs w:val="0"/>
          <w:sz w:val="24"/>
          <w:szCs w:val="24"/>
        </w:rPr>
        <w:t>3. Opérations</w:t>
      </w:r>
      <w:bookmarkEnd w:id="2"/>
    </w:p>
    <w:p w14:paraId="12B4888A" w14:textId="77777777" w:rsidR="000A591E" w:rsidRPr="00682A96" w:rsidRDefault="000A591E" w:rsidP="00FD79E5">
      <w:pPr>
        <w:spacing w:line="276" w:lineRule="auto"/>
        <w:jc w:val="both"/>
        <w:rPr>
          <w:rStyle w:val="Accentuation"/>
          <w:i w:val="0"/>
        </w:rPr>
      </w:pPr>
    </w:p>
    <w:p w14:paraId="32E6DF57" w14:textId="77777777" w:rsidR="000A591E" w:rsidRPr="00682A96" w:rsidRDefault="000A591E" w:rsidP="00FD79E5">
      <w:pPr>
        <w:spacing w:after="240" w:line="276" w:lineRule="auto"/>
        <w:jc w:val="both"/>
        <w:rPr>
          <w:i/>
          <w:lang w:val="fr-FR"/>
        </w:rPr>
      </w:pPr>
      <w:r w:rsidRPr="00682A96">
        <w:rPr>
          <w:i/>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682A96" w14:paraId="5A37E673" w14:textId="77777777" w:rsidTr="004E4D64">
        <w:trPr>
          <w:trHeight w:val="70"/>
        </w:trPr>
        <w:tc>
          <w:tcPr>
            <w:tcW w:w="4453" w:type="dxa"/>
          </w:tcPr>
          <w:p w14:paraId="5E12D1D6" w14:textId="77777777" w:rsidR="000A591E" w:rsidRPr="00682A96" w:rsidRDefault="000A591E" w:rsidP="00FD79E5">
            <w:pPr>
              <w:spacing w:line="276" w:lineRule="auto"/>
              <w:jc w:val="both"/>
              <w:rPr>
                <w:i/>
                <w:lang w:val="fr-FR"/>
              </w:rPr>
            </w:pPr>
            <w:r w:rsidRPr="00682A96">
              <w:rPr>
                <w:i/>
                <w:lang w:val="fr-FR"/>
              </w:rPr>
              <w:t>Nombre d’opérations menées ce mois</w:t>
            </w:r>
          </w:p>
        </w:tc>
        <w:tc>
          <w:tcPr>
            <w:tcW w:w="4478" w:type="dxa"/>
          </w:tcPr>
          <w:p w14:paraId="1308F8A7" w14:textId="44FE83E5" w:rsidR="000A591E" w:rsidRPr="00682A96" w:rsidRDefault="005E6CF4" w:rsidP="00FD79E5">
            <w:pPr>
              <w:spacing w:line="276" w:lineRule="auto"/>
              <w:jc w:val="both"/>
              <w:rPr>
                <w:i/>
                <w:highlight w:val="yellow"/>
                <w:lang w:val="fr-FR"/>
              </w:rPr>
            </w:pPr>
            <w:r>
              <w:rPr>
                <w:i/>
                <w:lang w:val="fr-FR"/>
              </w:rPr>
              <w:t>0</w:t>
            </w:r>
          </w:p>
        </w:tc>
      </w:tr>
      <w:tr w:rsidR="000A591E" w:rsidRPr="00682A96" w14:paraId="23B92546" w14:textId="77777777" w:rsidTr="004E4D64">
        <w:trPr>
          <w:trHeight w:val="231"/>
        </w:trPr>
        <w:tc>
          <w:tcPr>
            <w:tcW w:w="4453" w:type="dxa"/>
          </w:tcPr>
          <w:p w14:paraId="2D90A411" w14:textId="77777777" w:rsidR="000A591E" w:rsidRPr="00682A96" w:rsidRDefault="000A591E" w:rsidP="00FD79E5">
            <w:pPr>
              <w:spacing w:line="276" w:lineRule="auto"/>
              <w:jc w:val="both"/>
              <w:rPr>
                <w:i/>
                <w:lang w:val="fr-FR"/>
              </w:rPr>
            </w:pPr>
            <w:r w:rsidRPr="00682A96">
              <w:rPr>
                <w:i/>
                <w:lang w:val="fr-FR"/>
              </w:rPr>
              <w:t xml:space="preserve">Nombre de personnes arrêtées </w:t>
            </w:r>
          </w:p>
        </w:tc>
        <w:tc>
          <w:tcPr>
            <w:tcW w:w="4478" w:type="dxa"/>
          </w:tcPr>
          <w:p w14:paraId="20F2F54C" w14:textId="17204608" w:rsidR="000A591E" w:rsidRPr="00682A96" w:rsidRDefault="00D93FC9" w:rsidP="00FD79E5">
            <w:pPr>
              <w:spacing w:line="276" w:lineRule="auto"/>
              <w:jc w:val="both"/>
              <w:rPr>
                <w:i/>
                <w:highlight w:val="yellow"/>
                <w:lang w:val="fr-FR"/>
              </w:rPr>
            </w:pPr>
            <w:r w:rsidRPr="00682A96">
              <w:rPr>
                <w:i/>
                <w:lang w:val="fr-FR"/>
              </w:rPr>
              <w:t>0</w:t>
            </w:r>
          </w:p>
        </w:tc>
      </w:tr>
    </w:tbl>
    <w:p w14:paraId="10D7BEE8" w14:textId="77777777" w:rsidR="00AC2E33" w:rsidRPr="00682A96" w:rsidRDefault="00AC2E33" w:rsidP="00FD79E5">
      <w:pPr>
        <w:pStyle w:val="Sansinterligne"/>
        <w:spacing w:line="276" w:lineRule="auto"/>
        <w:jc w:val="both"/>
        <w:rPr>
          <w:rStyle w:val="Accentuation"/>
          <w:rFonts w:ascii="Times New Roman" w:hAnsi="Times New Roman"/>
          <w:i w:val="0"/>
          <w:sz w:val="24"/>
          <w:szCs w:val="24"/>
        </w:rPr>
      </w:pPr>
    </w:p>
    <w:p w14:paraId="18A968E8" w14:textId="3357D1DF" w:rsidR="000D2518" w:rsidRDefault="00BB7D9C" w:rsidP="00FD79E5">
      <w:pPr>
        <w:spacing w:line="276" w:lineRule="auto"/>
        <w:jc w:val="both"/>
        <w:rPr>
          <w:rStyle w:val="Accentuation"/>
          <w:i w:val="0"/>
          <w:lang w:val="fr-FR"/>
        </w:rPr>
      </w:pPr>
      <w:r>
        <w:rPr>
          <w:rStyle w:val="Accentuation"/>
          <w:i w:val="0"/>
          <w:lang w:val="fr-FR"/>
        </w:rPr>
        <w:t xml:space="preserve">Au cours de ce mois de </w:t>
      </w:r>
      <w:r w:rsidR="00FD79E5">
        <w:rPr>
          <w:rStyle w:val="Accentuation"/>
          <w:i w:val="0"/>
          <w:lang w:val="fr-FR"/>
        </w:rPr>
        <w:t>d</w:t>
      </w:r>
      <w:r>
        <w:rPr>
          <w:rStyle w:val="Accentuation"/>
          <w:i w:val="0"/>
          <w:lang w:val="fr-FR"/>
        </w:rPr>
        <w:t>éc</w:t>
      </w:r>
      <w:r w:rsidR="00683C00">
        <w:rPr>
          <w:rStyle w:val="Accentuation"/>
          <w:i w:val="0"/>
          <w:lang w:val="fr-FR"/>
        </w:rPr>
        <w:t>em</w:t>
      </w:r>
      <w:r w:rsidR="0092603E">
        <w:rPr>
          <w:rStyle w:val="Accentuation"/>
          <w:i w:val="0"/>
          <w:lang w:val="fr-FR"/>
        </w:rPr>
        <w:t>bre</w:t>
      </w:r>
      <w:r w:rsidR="00683C00">
        <w:rPr>
          <w:rStyle w:val="Accentuation"/>
          <w:i w:val="0"/>
          <w:lang w:val="fr-FR"/>
        </w:rPr>
        <w:t xml:space="preserve"> 2024</w:t>
      </w:r>
      <w:r w:rsidR="005A78CE">
        <w:rPr>
          <w:rStyle w:val="Accentuation"/>
          <w:i w:val="0"/>
          <w:lang w:val="fr-FR"/>
        </w:rPr>
        <w:t>, aucune opération n’a été menée.</w:t>
      </w:r>
    </w:p>
    <w:p w14:paraId="3A1314DC" w14:textId="77777777" w:rsidR="005A78CE" w:rsidRPr="00682A96" w:rsidRDefault="005A78CE" w:rsidP="00FD79E5">
      <w:pPr>
        <w:spacing w:line="276" w:lineRule="auto"/>
        <w:jc w:val="both"/>
        <w:rPr>
          <w:rStyle w:val="Accentuation"/>
          <w:i w:val="0"/>
        </w:rPr>
      </w:pPr>
    </w:p>
    <w:p w14:paraId="362A5DBB" w14:textId="77777777" w:rsidR="000D2518" w:rsidRPr="00682A96" w:rsidRDefault="000D2518" w:rsidP="00FD79E5">
      <w:pPr>
        <w:pStyle w:val="Titre1"/>
        <w:spacing w:line="276" w:lineRule="auto"/>
        <w:rPr>
          <w:rStyle w:val="Accentuation"/>
          <w:rFonts w:ascii="Times New Roman" w:hAnsi="Times New Roman" w:cs="Times New Roman"/>
          <w:sz w:val="24"/>
          <w:szCs w:val="24"/>
        </w:rPr>
      </w:pPr>
      <w:bookmarkStart w:id="3" w:name="_Toc118989101"/>
      <w:r w:rsidRPr="00682A96">
        <w:rPr>
          <w:rStyle w:val="Accentuation"/>
          <w:rFonts w:ascii="Times New Roman" w:hAnsi="Times New Roman" w:cs="Times New Roman"/>
          <w:sz w:val="24"/>
          <w:szCs w:val="24"/>
        </w:rPr>
        <w:t>4. Département juridique</w:t>
      </w:r>
      <w:bookmarkEnd w:id="3"/>
    </w:p>
    <w:p w14:paraId="125A936C" w14:textId="77777777" w:rsidR="000D2518" w:rsidRPr="00682A96" w:rsidRDefault="000D2518" w:rsidP="00FD79E5">
      <w:pPr>
        <w:spacing w:line="276" w:lineRule="auto"/>
        <w:jc w:val="both"/>
        <w:rPr>
          <w:rStyle w:val="Accentuation"/>
          <w:i w:val="0"/>
        </w:rPr>
      </w:pPr>
    </w:p>
    <w:p w14:paraId="37D64A76" w14:textId="77777777" w:rsidR="000D2518" w:rsidRPr="00682A96" w:rsidRDefault="000D2518" w:rsidP="00FD79E5">
      <w:pPr>
        <w:spacing w:line="276" w:lineRule="auto"/>
        <w:jc w:val="both"/>
        <w:rPr>
          <w:rStyle w:val="Accentuation"/>
          <w:i w:val="0"/>
        </w:rPr>
      </w:pPr>
      <w:r w:rsidRPr="00682A96">
        <w:rPr>
          <w:rStyle w:val="Accentuation"/>
          <w:b/>
          <w:i w:val="0"/>
        </w:rPr>
        <w:t>4.1. Suivi des affaires</w:t>
      </w:r>
      <w:r w:rsidRPr="00682A96">
        <w:rPr>
          <w:rStyle w:val="Accentuation"/>
          <w:i w:val="0"/>
        </w:rPr>
        <w:tab/>
      </w:r>
    </w:p>
    <w:p w14:paraId="32F35B7F" w14:textId="77777777" w:rsidR="000D2518" w:rsidRPr="00682A96" w:rsidRDefault="000D2518" w:rsidP="00FD79E5">
      <w:pPr>
        <w:spacing w:line="276" w:lineRule="auto"/>
        <w:jc w:val="both"/>
        <w:rPr>
          <w:rStyle w:val="Accentuation"/>
          <w:b/>
          <w:i w:val="0"/>
          <w:color w:val="FF0000"/>
        </w:rPr>
      </w:pPr>
    </w:p>
    <w:p w14:paraId="3D09EDAE" w14:textId="77777777" w:rsidR="000D2518" w:rsidRPr="00682A96" w:rsidRDefault="000D2518" w:rsidP="00FD79E5">
      <w:pPr>
        <w:spacing w:line="276" w:lineRule="auto"/>
        <w:jc w:val="both"/>
        <w:rPr>
          <w:rStyle w:val="Accentuation"/>
        </w:rPr>
      </w:pPr>
      <w:r w:rsidRPr="00682A96">
        <w:rPr>
          <w:rStyle w:val="Accentuation"/>
        </w:rPr>
        <w:t>Indicateurs :</w:t>
      </w:r>
    </w:p>
    <w:p w14:paraId="40EFFE2F" w14:textId="77777777" w:rsidR="000D2518" w:rsidRPr="00682A96" w:rsidRDefault="000D2518" w:rsidP="00FD79E5">
      <w:pPr>
        <w:spacing w:line="276" w:lineRule="auto"/>
        <w:jc w:val="both"/>
        <w:rPr>
          <w:rStyle w:val="Accentuation"/>
        </w:rPr>
      </w:pPr>
    </w:p>
    <w:tbl>
      <w:tblPr>
        <w:tblStyle w:val="Grilledetableauclaire1"/>
        <w:tblW w:w="0" w:type="auto"/>
        <w:jc w:val="center"/>
        <w:tblLook w:val="04A0" w:firstRow="1" w:lastRow="0" w:firstColumn="1" w:lastColumn="0" w:noHBand="0" w:noVBand="1"/>
      </w:tblPr>
      <w:tblGrid>
        <w:gridCol w:w="4761"/>
        <w:gridCol w:w="4158"/>
      </w:tblGrid>
      <w:tr w:rsidR="000D2518" w:rsidRPr="00682A96" w14:paraId="5E019C90" w14:textId="77777777" w:rsidTr="00581B43">
        <w:trPr>
          <w:jc w:val="center"/>
        </w:trPr>
        <w:tc>
          <w:tcPr>
            <w:tcW w:w="4794" w:type="dxa"/>
            <w:shd w:val="clear" w:color="auto" w:fill="FFFFFF" w:themeFill="background1"/>
          </w:tcPr>
          <w:p w14:paraId="51F71FF9" w14:textId="77777777" w:rsidR="000D2518" w:rsidRPr="00581B43" w:rsidRDefault="000D2518" w:rsidP="00FD79E5">
            <w:pPr>
              <w:spacing w:line="276" w:lineRule="auto"/>
              <w:jc w:val="both"/>
              <w:rPr>
                <w:rStyle w:val="Accentuation"/>
                <w:color w:val="000000" w:themeColor="text1"/>
              </w:rPr>
            </w:pPr>
            <w:r w:rsidRPr="00581B43">
              <w:rPr>
                <w:rStyle w:val="Accentuation"/>
                <w:color w:val="000000" w:themeColor="text1"/>
              </w:rPr>
              <w:t xml:space="preserve">Nombre d’affaires suivies                     </w:t>
            </w:r>
          </w:p>
        </w:tc>
        <w:tc>
          <w:tcPr>
            <w:tcW w:w="4200" w:type="dxa"/>
          </w:tcPr>
          <w:p w14:paraId="10927790" w14:textId="1E7CA9AA" w:rsidR="000D2518" w:rsidRPr="00682A96" w:rsidRDefault="0052226F" w:rsidP="00FD79E5">
            <w:pPr>
              <w:spacing w:line="276" w:lineRule="auto"/>
              <w:jc w:val="both"/>
              <w:rPr>
                <w:rStyle w:val="Accentuation"/>
                <w:i w:val="0"/>
                <w:iCs w:val="0"/>
                <w:color w:val="000000" w:themeColor="text1"/>
              </w:rPr>
            </w:pPr>
            <w:r>
              <w:rPr>
                <w:rStyle w:val="Accentuation"/>
                <w:i w:val="0"/>
                <w:iCs w:val="0"/>
                <w:color w:val="000000" w:themeColor="text1"/>
              </w:rPr>
              <w:t>0</w:t>
            </w:r>
          </w:p>
        </w:tc>
      </w:tr>
      <w:tr w:rsidR="000D2518" w:rsidRPr="00682A96" w14:paraId="0D6C5F60" w14:textId="77777777" w:rsidTr="00581B43">
        <w:trPr>
          <w:jc w:val="center"/>
        </w:trPr>
        <w:tc>
          <w:tcPr>
            <w:tcW w:w="4794" w:type="dxa"/>
            <w:shd w:val="clear" w:color="auto" w:fill="FFFFFF" w:themeFill="background1"/>
          </w:tcPr>
          <w:p w14:paraId="7EE02490" w14:textId="77777777" w:rsidR="000D2518" w:rsidRPr="00581B43" w:rsidRDefault="000D2518" w:rsidP="00FD79E5">
            <w:pPr>
              <w:spacing w:line="276" w:lineRule="auto"/>
              <w:jc w:val="both"/>
              <w:rPr>
                <w:rStyle w:val="Accentuation"/>
                <w:color w:val="000000" w:themeColor="text1"/>
              </w:rPr>
            </w:pPr>
            <w:r w:rsidRPr="00581B43">
              <w:rPr>
                <w:rStyle w:val="Accentuation"/>
                <w:color w:val="000000" w:themeColor="text1"/>
              </w:rPr>
              <w:t>Nombre de condamnations</w:t>
            </w:r>
          </w:p>
        </w:tc>
        <w:tc>
          <w:tcPr>
            <w:tcW w:w="4200" w:type="dxa"/>
          </w:tcPr>
          <w:p w14:paraId="77E7A9DC" w14:textId="031FF76E" w:rsidR="000D2518" w:rsidRPr="00682A96" w:rsidRDefault="00E90D1C" w:rsidP="00FD79E5">
            <w:pPr>
              <w:spacing w:line="276" w:lineRule="auto"/>
              <w:jc w:val="both"/>
              <w:rPr>
                <w:rStyle w:val="Accentuation"/>
                <w:i w:val="0"/>
                <w:iCs w:val="0"/>
                <w:color w:val="000000" w:themeColor="text1"/>
              </w:rPr>
            </w:pPr>
            <w:r>
              <w:rPr>
                <w:rStyle w:val="Accentuation"/>
                <w:i w:val="0"/>
                <w:iCs w:val="0"/>
                <w:color w:val="000000" w:themeColor="text1"/>
              </w:rPr>
              <w:t>0</w:t>
            </w:r>
          </w:p>
        </w:tc>
      </w:tr>
      <w:tr w:rsidR="000D2518" w:rsidRPr="00682A96" w14:paraId="54A3DD33" w14:textId="77777777" w:rsidTr="00581B43">
        <w:trPr>
          <w:jc w:val="center"/>
        </w:trPr>
        <w:tc>
          <w:tcPr>
            <w:tcW w:w="4794" w:type="dxa"/>
            <w:shd w:val="clear" w:color="auto" w:fill="FFFFFF" w:themeFill="background1"/>
          </w:tcPr>
          <w:p w14:paraId="1193A27F" w14:textId="77777777" w:rsidR="000D2518" w:rsidRPr="00581B43" w:rsidRDefault="000D2518" w:rsidP="00FD79E5">
            <w:pPr>
              <w:spacing w:line="276" w:lineRule="auto"/>
              <w:jc w:val="both"/>
              <w:rPr>
                <w:rStyle w:val="Accentuation"/>
                <w:color w:val="000000" w:themeColor="text1"/>
              </w:rPr>
            </w:pPr>
            <w:r w:rsidRPr="00581B43">
              <w:rPr>
                <w:rStyle w:val="Accentuation"/>
                <w:color w:val="000000" w:themeColor="text1"/>
              </w:rPr>
              <w:t>Affaires enregistrées</w:t>
            </w:r>
          </w:p>
        </w:tc>
        <w:tc>
          <w:tcPr>
            <w:tcW w:w="4200" w:type="dxa"/>
          </w:tcPr>
          <w:p w14:paraId="67CD9396" w14:textId="2E19B570" w:rsidR="000D2518" w:rsidRPr="00682A96" w:rsidRDefault="00FA2964" w:rsidP="00FD79E5">
            <w:pPr>
              <w:spacing w:line="276" w:lineRule="auto"/>
              <w:jc w:val="both"/>
              <w:rPr>
                <w:rStyle w:val="Accentuation"/>
                <w:i w:val="0"/>
                <w:iCs w:val="0"/>
                <w:color w:val="000000" w:themeColor="text1"/>
              </w:rPr>
            </w:pPr>
            <w:r>
              <w:rPr>
                <w:rStyle w:val="Accentuation"/>
                <w:i w:val="0"/>
                <w:iCs w:val="0"/>
                <w:color w:val="000000" w:themeColor="text1"/>
              </w:rPr>
              <w:t>0</w:t>
            </w:r>
          </w:p>
        </w:tc>
      </w:tr>
      <w:tr w:rsidR="000D2518" w:rsidRPr="00682A96" w14:paraId="1D86E7EA" w14:textId="77777777" w:rsidTr="00581B43">
        <w:trPr>
          <w:trHeight w:val="58"/>
          <w:jc w:val="center"/>
        </w:trPr>
        <w:tc>
          <w:tcPr>
            <w:tcW w:w="4794" w:type="dxa"/>
            <w:shd w:val="clear" w:color="auto" w:fill="FFFFFF" w:themeFill="background1"/>
          </w:tcPr>
          <w:p w14:paraId="2D69C319" w14:textId="77777777" w:rsidR="000D2518" w:rsidRPr="00581B43" w:rsidRDefault="000D2518" w:rsidP="00FD79E5">
            <w:pPr>
              <w:spacing w:line="276" w:lineRule="auto"/>
              <w:jc w:val="both"/>
              <w:rPr>
                <w:rStyle w:val="Accentuation"/>
                <w:color w:val="000000" w:themeColor="text1"/>
              </w:rPr>
            </w:pPr>
            <w:r w:rsidRPr="00581B43">
              <w:rPr>
                <w:rStyle w:val="Accentuation"/>
                <w:color w:val="000000" w:themeColor="text1"/>
              </w:rPr>
              <w:t>Nombre de prévenus</w:t>
            </w:r>
          </w:p>
        </w:tc>
        <w:tc>
          <w:tcPr>
            <w:tcW w:w="4200" w:type="dxa"/>
          </w:tcPr>
          <w:p w14:paraId="4D6E5A31" w14:textId="1D375E1E" w:rsidR="000D2518" w:rsidRPr="00682A96" w:rsidRDefault="00E90D1C" w:rsidP="00FD79E5">
            <w:pPr>
              <w:spacing w:line="276" w:lineRule="auto"/>
              <w:jc w:val="both"/>
              <w:rPr>
                <w:rStyle w:val="Accentuation"/>
                <w:i w:val="0"/>
                <w:iCs w:val="0"/>
                <w:color w:val="000000" w:themeColor="text1"/>
              </w:rPr>
            </w:pPr>
            <w:r>
              <w:rPr>
                <w:rStyle w:val="Accentuation"/>
                <w:i w:val="0"/>
                <w:iCs w:val="0"/>
                <w:color w:val="000000" w:themeColor="text1"/>
              </w:rPr>
              <w:t>0</w:t>
            </w:r>
          </w:p>
        </w:tc>
      </w:tr>
    </w:tbl>
    <w:p w14:paraId="54C107B7" w14:textId="7479A88F" w:rsidR="00AE290A" w:rsidRDefault="00A703E9" w:rsidP="00FD79E5">
      <w:pPr>
        <w:spacing w:line="276" w:lineRule="auto"/>
        <w:jc w:val="both"/>
        <w:rPr>
          <w:rStyle w:val="Accentuation"/>
          <w:i w:val="0"/>
          <w:lang w:val="fr-FR"/>
        </w:rPr>
      </w:pPr>
      <w:bookmarkStart w:id="4" w:name="_Hlk149868750"/>
      <w:bookmarkStart w:id="5" w:name="_Hlk152654543"/>
      <w:r>
        <w:rPr>
          <w:rStyle w:val="Accentuation"/>
          <w:i w:val="0"/>
          <w:lang w:val="fr-FR"/>
        </w:rPr>
        <w:t xml:space="preserve"> </w:t>
      </w:r>
    </w:p>
    <w:p w14:paraId="70227059" w14:textId="4CEC1FEF" w:rsidR="00E90D1C" w:rsidRDefault="0052226F" w:rsidP="00FD79E5">
      <w:pPr>
        <w:spacing w:line="276" w:lineRule="auto"/>
        <w:jc w:val="both"/>
        <w:rPr>
          <w:rStyle w:val="Accentuation"/>
          <w:i w:val="0"/>
          <w:lang w:val="fr-FR"/>
        </w:rPr>
      </w:pPr>
      <w:r>
        <w:rPr>
          <w:rStyle w:val="Accentuation"/>
          <w:i w:val="0"/>
          <w:lang w:val="fr-FR"/>
        </w:rPr>
        <w:t xml:space="preserve">Au cours du mois de </w:t>
      </w:r>
      <w:r w:rsidR="00B13206">
        <w:rPr>
          <w:rStyle w:val="Accentuation"/>
          <w:i w:val="0"/>
          <w:lang w:val="fr-FR"/>
        </w:rPr>
        <w:t>décembre 2024</w:t>
      </w:r>
      <w:r w:rsidR="00E90D1C">
        <w:rPr>
          <w:rStyle w:val="Accentuation"/>
          <w:i w:val="0"/>
          <w:lang w:val="fr-FR"/>
        </w:rPr>
        <w:t>, aucune affaire n’est passée en jugement. Il n’y a pas eu non plus de cas enregistré devant les tribunaux.</w:t>
      </w:r>
    </w:p>
    <w:p w14:paraId="7AEA3820" w14:textId="77777777" w:rsidR="00E14F3A" w:rsidRDefault="00E14F3A" w:rsidP="00FD79E5">
      <w:pPr>
        <w:spacing w:line="276" w:lineRule="auto"/>
        <w:jc w:val="both"/>
        <w:rPr>
          <w:rStyle w:val="Accentuation"/>
          <w:i w:val="0"/>
          <w:lang w:val="fr-FR"/>
        </w:rPr>
      </w:pPr>
    </w:p>
    <w:bookmarkEnd w:id="4"/>
    <w:bookmarkEnd w:id="5"/>
    <w:p w14:paraId="3EA60980" w14:textId="77777777" w:rsidR="000D2518" w:rsidRPr="00682A96" w:rsidRDefault="000D2518" w:rsidP="00FD79E5">
      <w:pPr>
        <w:spacing w:line="276" w:lineRule="auto"/>
        <w:jc w:val="both"/>
        <w:rPr>
          <w:rStyle w:val="Accentuation"/>
          <w:b/>
          <w:i w:val="0"/>
        </w:rPr>
      </w:pPr>
      <w:r w:rsidRPr="00682A96">
        <w:rPr>
          <w:rStyle w:val="Accentuation"/>
          <w:b/>
          <w:i w:val="0"/>
        </w:rPr>
        <w:lastRenderedPageBreak/>
        <w:t>4.2. Visites de prison</w:t>
      </w:r>
    </w:p>
    <w:p w14:paraId="02C74C12" w14:textId="77777777" w:rsidR="000D2518" w:rsidRPr="00682A96" w:rsidRDefault="000D2518" w:rsidP="00FD79E5">
      <w:pPr>
        <w:spacing w:line="276" w:lineRule="auto"/>
        <w:jc w:val="both"/>
        <w:rPr>
          <w:rStyle w:val="Accentuation"/>
          <w:i w:val="0"/>
        </w:rPr>
      </w:pPr>
    </w:p>
    <w:p w14:paraId="32BDF67A" w14:textId="77777777" w:rsidR="000D2518" w:rsidRPr="00682A96" w:rsidRDefault="000D2518" w:rsidP="00FD79E5">
      <w:pPr>
        <w:spacing w:line="276" w:lineRule="auto"/>
        <w:jc w:val="both"/>
        <w:rPr>
          <w:rStyle w:val="Accentuation"/>
        </w:rPr>
      </w:pPr>
      <w:r w:rsidRPr="00682A96">
        <w:rPr>
          <w:rStyle w:val="Accentuation"/>
        </w:rPr>
        <w:t>Indicateurs :</w:t>
      </w:r>
    </w:p>
    <w:p w14:paraId="3CA5790B" w14:textId="77777777" w:rsidR="000D2518" w:rsidRPr="00682A96" w:rsidRDefault="000D2518" w:rsidP="00FD79E5">
      <w:pPr>
        <w:spacing w:line="276" w:lineRule="auto"/>
        <w:jc w:val="both"/>
        <w:rPr>
          <w:rStyle w:val="Accentuation"/>
        </w:rPr>
      </w:pPr>
    </w:p>
    <w:tbl>
      <w:tblPr>
        <w:tblStyle w:val="Grilledetableauclaire1"/>
        <w:tblW w:w="9208" w:type="dxa"/>
        <w:tblLook w:val="04A0" w:firstRow="1" w:lastRow="0" w:firstColumn="1" w:lastColumn="0" w:noHBand="0" w:noVBand="1"/>
      </w:tblPr>
      <w:tblGrid>
        <w:gridCol w:w="4928"/>
        <w:gridCol w:w="4280"/>
      </w:tblGrid>
      <w:tr w:rsidR="000D2518" w:rsidRPr="00682A96" w14:paraId="6472FD92" w14:textId="77777777" w:rsidTr="007A2C0C">
        <w:trPr>
          <w:trHeight w:val="262"/>
        </w:trPr>
        <w:tc>
          <w:tcPr>
            <w:tcW w:w="4928" w:type="dxa"/>
          </w:tcPr>
          <w:p w14:paraId="332179DB" w14:textId="77777777" w:rsidR="000D2518" w:rsidRPr="00682A96" w:rsidRDefault="000D2518" w:rsidP="00FD79E5">
            <w:pPr>
              <w:spacing w:line="276" w:lineRule="auto"/>
              <w:jc w:val="both"/>
              <w:rPr>
                <w:rStyle w:val="Accentuation"/>
              </w:rPr>
            </w:pPr>
            <w:r w:rsidRPr="00682A96">
              <w:rPr>
                <w:rStyle w:val="Accentuation"/>
              </w:rPr>
              <w:t xml:space="preserve">Nombre de visites effectuées </w:t>
            </w:r>
          </w:p>
        </w:tc>
        <w:tc>
          <w:tcPr>
            <w:tcW w:w="4280" w:type="dxa"/>
          </w:tcPr>
          <w:p w14:paraId="264C9EC0" w14:textId="77777777" w:rsidR="000D2518" w:rsidRPr="00682A96" w:rsidRDefault="000D2518" w:rsidP="00FD79E5">
            <w:pPr>
              <w:spacing w:line="276" w:lineRule="auto"/>
              <w:jc w:val="both"/>
              <w:rPr>
                <w:rStyle w:val="Accentuation"/>
              </w:rPr>
            </w:pPr>
            <w:r w:rsidRPr="00682A96">
              <w:rPr>
                <w:rStyle w:val="Accentuation"/>
              </w:rPr>
              <w:t>0</w:t>
            </w:r>
          </w:p>
        </w:tc>
      </w:tr>
      <w:tr w:rsidR="000D2518" w:rsidRPr="00682A96" w14:paraId="7759C9DA" w14:textId="77777777" w:rsidTr="007A2C0C">
        <w:trPr>
          <w:trHeight w:val="262"/>
        </w:trPr>
        <w:tc>
          <w:tcPr>
            <w:tcW w:w="4928" w:type="dxa"/>
          </w:tcPr>
          <w:p w14:paraId="2A76B15E" w14:textId="77777777" w:rsidR="000D2518" w:rsidRPr="00682A96" w:rsidRDefault="000D2518" w:rsidP="00FD79E5">
            <w:pPr>
              <w:spacing w:line="276" w:lineRule="auto"/>
              <w:jc w:val="both"/>
              <w:rPr>
                <w:rStyle w:val="Accentuation"/>
              </w:rPr>
            </w:pPr>
            <w:r w:rsidRPr="00682A96">
              <w:rPr>
                <w:rStyle w:val="Accentuation"/>
              </w:rPr>
              <w:t>Nombre de détenus rencontrés</w:t>
            </w:r>
          </w:p>
        </w:tc>
        <w:tc>
          <w:tcPr>
            <w:tcW w:w="4280" w:type="dxa"/>
          </w:tcPr>
          <w:p w14:paraId="267F2922" w14:textId="77777777" w:rsidR="000D2518" w:rsidRPr="00682A96" w:rsidRDefault="000D2518" w:rsidP="00FD79E5">
            <w:pPr>
              <w:spacing w:line="276" w:lineRule="auto"/>
              <w:jc w:val="both"/>
              <w:rPr>
                <w:rStyle w:val="Accentuation"/>
              </w:rPr>
            </w:pPr>
            <w:r w:rsidRPr="00682A96">
              <w:rPr>
                <w:rStyle w:val="Accentuation"/>
              </w:rPr>
              <w:t>0</w:t>
            </w:r>
          </w:p>
        </w:tc>
      </w:tr>
    </w:tbl>
    <w:p w14:paraId="64078226" w14:textId="77777777" w:rsidR="00BC6D4B" w:rsidRDefault="00BC6D4B" w:rsidP="00FD79E5">
      <w:pPr>
        <w:spacing w:line="276" w:lineRule="auto"/>
        <w:jc w:val="both"/>
        <w:rPr>
          <w:rStyle w:val="Accentuation"/>
          <w:i w:val="0"/>
          <w:color w:val="000000" w:themeColor="text1"/>
        </w:rPr>
      </w:pPr>
    </w:p>
    <w:p w14:paraId="395FF377" w14:textId="26D511D8" w:rsidR="008C6086" w:rsidRDefault="00BC6D4B" w:rsidP="00FD79E5">
      <w:pPr>
        <w:spacing w:line="276" w:lineRule="auto"/>
        <w:jc w:val="both"/>
        <w:rPr>
          <w:rStyle w:val="Accentuation"/>
          <w:b/>
          <w:i w:val="0"/>
        </w:rPr>
      </w:pPr>
      <w:r>
        <w:rPr>
          <w:rStyle w:val="Accentuation"/>
          <w:i w:val="0"/>
          <w:color w:val="000000" w:themeColor="text1"/>
        </w:rPr>
        <w:t>Nous n’enregistrons pas pour le moment des cas de détention pour exploitation forestière illégale. Par conséquent, il n’y a pas de visites de prison.</w:t>
      </w:r>
    </w:p>
    <w:p w14:paraId="49DDDD80" w14:textId="77777777" w:rsidR="00BC6D4B" w:rsidRDefault="00BC6D4B" w:rsidP="00FD79E5">
      <w:pPr>
        <w:spacing w:line="276" w:lineRule="auto"/>
        <w:jc w:val="both"/>
        <w:rPr>
          <w:rStyle w:val="Accentuation"/>
          <w:b/>
          <w:i w:val="0"/>
        </w:rPr>
      </w:pPr>
    </w:p>
    <w:p w14:paraId="310BF506" w14:textId="77777777" w:rsidR="000D2518" w:rsidRPr="00682A96" w:rsidRDefault="000D2518" w:rsidP="00FD79E5">
      <w:pPr>
        <w:spacing w:line="276" w:lineRule="auto"/>
        <w:jc w:val="both"/>
        <w:rPr>
          <w:rStyle w:val="Accentuation"/>
          <w:b/>
          <w:i w:val="0"/>
        </w:rPr>
      </w:pPr>
      <w:r w:rsidRPr="00682A96">
        <w:rPr>
          <w:rStyle w:val="Accentuation"/>
          <w:b/>
          <w:i w:val="0"/>
        </w:rPr>
        <w:t>4.3 Formations</w:t>
      </w:r>
    </w:p>
    <w:p w14:paraId="628CD7D3" w14:textId="77777777" w:rsidR="008A65CC" w:rsidRDefault="008A65CC" w:rsidP="00FD79E5">
      <w:pPr>
        <w:spacing w:line="276" w:lineRule="auto"/>
        <w:jc w:val="both"/>
        <w:rPr>
          <w:rStyle w:val="Accentuation"/>
          <w:b/>
          <w:i w:val="0"/>
        </w:rPr>
      </w:pPr>
    </w:p>
    <w:p w14:paraId="1E50B71E" w14:textId="57A40126" w:rsidR="00FB411D" w:rsidRPr="00035493" w:rsidRDefault="009C17F9" w:rsidP="00FD79E5">
      <w:pPr>
        <w:spacing w:line="276" w:lineRule="auto"/>
        <w:jc w:val="both"/>
        <w:rPr>
          <w:iCs/>
        </w:rPr>
      </w:pPr>
      <w:r>
        <w:rPr>
          <w:rStyle w:val="Accentuation"/>
          <w:i w:val="0"/>
        </w:rPr>
        <w:t>Dans le cadre de la mise en œuv</w:t>
      </w:r>
      <w:r w:rsidR="002C35AA">
        <w:rPr>
          <w:rStyle w:val="Accentuation"/>
          <w:i w:val="0"/>
        </w:rPr>
        <w:t>re du projet ALEFI</w:t>
      </w:r>
      <w:r w:rsidR="00683C00">
        <w:rPr>
          <w:rStyle w:val="Accentuation"/>
          <w:i w:val="0"/>
        </w:rPr>
        <w:t>, CJ n’a pas organi</w:t>
      </w:r>
      <w:r w:rsidR="0052226F">
        <w:rPr>
          <w:rStyle w:val="Accentuation"/>
          <w:i w:val="0"/>
        </w:rPr>
        <w:t>sé</w:t>
      </w:r>
      <w:r w:rsidR="00BB7D9C">
        <w:rPr>
          <w:rStyle w:val="Accentuation"/>
          <w:i w:val="0"/>
        </w:rPr>
        <w:t xml:space="preserve"> de formation ce mois</w:t>
      </w:r>
      <w:r w:rsidR="00FD79E5">
        <w:rPr>
          <w:rStyle w:val="Accentuation"/>
          <w:i w:val="0"/>
        </w:rPr>
        <w:t>.</w:t>
      </w:r>
    </w:p>
    <w:p w14:paraId="198DAA3B" w14:textId="77777777" w:rsidR="00BA7D60" w:rsidRPr="00682A96" w:rsidRDefault="00BA7D60" w:rsidP="00FD79E5">
      <w:pPr>
        <w:spacing w:line="276" w:lineRule="auto"/>
        <w:jc w:val="both"/>
        <w:rPr>
          <w:b/>
          <w:u w:val="single"/>
        </w:rPr>
      </w:pPr>
    </w:p>
    <w:p w14:paraId="6AC852FA" w14:textId="77777777" w:rsidR="000A591E" w:rsidRPr="00682A96" w:rsidRDefault="000A591E" w:rsidP="00FD79E5">
      <w:pPr>
        <w:pStyle w:val="Titre1"/>
        <w:spacing w:line="276" w:lineRule="auto"/>
        <w:rPr>
          <w:rStyle w:val="Accentuation"/>
          <w:rFonts w:ascii="Times New Roman" w:hAnsi="Times New Roman" w:cs="Times New Roman"/>
          <w:iCs w:val="0"/>
          <w:sz w:val="24"/>
          <w:szCs w:val="24"/>
        </w:rPr>
      </w:pPr>
      <w:bookmarkStart w:id="6" w:name="_Toc118989102"/>
      <w:r w:rsidRPr="00682A96">
        <w:rPr>
          <w:rStyle w:val="Accentuation"/>
          <w:rFonts w:ascii="Times New Roman" w:hAnsi="Times New Roman" w:cs="Times New Roman"/>
          <w:iCs w:val="0"/>
          <w:sz w:val="24"/>
          <w:szCs w:val="24"/>
        </w:rPr>
        <w:t>5. Missions</w:t>
      </w:r>
      <w:bookmarkEnd w:id="6"/>
    </w:p>
    <w:p w14:paraId="22242DD8" w14:textId="77777777" w:rsidR="00BE3C9A" w:rsidRPr="00682A96" w:rsidRDefault="00BE3C9A" w:rsidP="00FD79E5">
      <w:pPr>
        <w:spacing w:line="276" w:lineRule="auto"/>
        <w:jc w:val="both"/>
      </w:pPr>
    </w:p>
    <w:p w14:paraId="54D0F454" w14:textId="77777777" w:rsidR="00FD79E5" w:rsidRDefault="00FD79E5" w:rsidP="00FD79E5">
      <w:pPr>
        <w:pStyle w:val="Paragraphedeliste"/>
        <w:spacing w:line="276" w:lineRule="auto"/>
      </w:pPr>
    </w:p>
    <w:p w14:paraId="2053245E" w14:textId="77777777" w:rsidR="00FD79E5" w:rsidRPr="00FD79E5" w:rsidRDefault="00FD79E5" w:rsidP="00FD79E5">
      <w:pPr>
        <w:spacing w:line="276" w:lineRule="auto"/>
        <w:rPr>
          <w:b/>
          <w:bCs/>
          <w:u w:val="single"/>
          <w:lang w:val="fr-GA"/>
        </w:rPr>
      </w:pPr>
      <w:r w:rsidRPr="00FD79E5">
        <w:rPr>
          <w:b/>
          <w:bCs/>
          <w:u w:val="single"/>
          <w:lang w:val="fr-GA"/>
        </w:rPr>
        <w:t>Mission sociale dans la province de l’Ogooué-Ivindo (12 au 21 décembre 2024)</w:t>
      </w:r>
    </w:p>
    <w:p w14:paraId="30A6DADA" w14:textId="3A11F7B6" w:rsidR="00FD79E5" w:rsidRDefault="00FD79E5" w:rsidP="00FD79E5">
      <w:pPr>
        <w:spacing w:line="276" w:lineRule="auto"/>
        <w:rPr>
          <w:lang w:val="fr-GA"/>
        </w:rPr>
      </w:pPr>
      <w:r w:rsidRPr="00FD79E5">
        <w:rPr>
          <w:lang w:val="fr-GA"/>
        </w:rPr>
        <w:t xml:space="preserve">Durant cette période, l’équipe sociale nord de CJ a mené une mission dans plusieurs localités de la province de l’Ogooué-Ivindo (Ebyeng, Mbess, Bobenda, La Scierie, Akoba, Balem, Touné, Balimba, Koumameyong, et Djidji). </w:t>
      </w:r>
      <w:r w:rsidR="006543E1">
        <w:rPr>
          <w:lang w:val="fr-GA"/>
        </w:rPr>
        <w:t>Cette mission</w:t>
      </w:r>
      <w:r w:rsidRPr="00FD79E5">
        <w:rPr>
          <w:lang w:val="fr-GA"/>
        </w:rPr>
        <w:t xml:space="preserve"> avait pour objectif principal le suivi de la mise en œuvre des </w:t>
      </w:r>
      <w:r w:rsidR="006543E1">
        <w:rPr>
          <w:lang w:val="fr-GA"/>
        </w:rPr>
        <w:t>Cahiers des Charges Contractuelles</w:t>
      </w:r>
      <w:r w:rsidRPr="00FD79E5">
        <w:rPr>
          <w:lang w:val="fr-GA"/>
        </w:rPr>
        <w:t xml:space="preserve"> (CCC), le suivi des procédures en cours au Tribunal de Makokou, ainsi que la sensibilisation et l’inspection des plantations destinées à recevoir des clôtures électriques.</w:t>
      </w:r>
    </w:p>
    <w:p w14:paraId="0E9BBFCC" w14:textId="77777777" w:rsidR="006543E1" w:rsidRPr="00FD79E5" w:rsidRDefault="006543E1" w:rsidP="00FD79E5">
      <w:pPr>
        <w:spacing w:line="276" w:lineRule="auto"/>
        <w:rPr>
          <w:lang w:val="fr-GA"/>
        </w:rPr>
      </w:pPr>
    </w:p>
    <w:p w14:paraId="0C26B996" w14:textId="77777777" w:rsidR="00FD79E5" w:rsidRPr="00FD79E5" w:rsidRDefault="00FD79E5" w:rsidP="00FD79E5">
      <w:pPr>
        <w:numPr>
          <w:ilvl w:val="0"/>
          <w:numId w:val="40"/>
        </w:numPr>
        <w:spacing w:line="276" w:lineRule="auto"/>
        <w:rPr>
          <w:lang w:val="fr-GA"/>
        </w:rPr>
      </w:pPr>
      <w:r w:rsidRPr="00FD79E5">
        <w:rPr>
          <w:b/>
          <w:bCs/>
          <w:lang w:val="fr-GA"/>
        </w:rPr>
        <w:t>Ebyeng</w:t>
      </w:r>
      <w:r w:rsidRPr="00FD79E5">
        <w:rPr>
          <w:lang w:val="fr-GA"/>
        </w:rPr>
        <w:t xml:space="preserve"> : Inspection des plantations pour les clôtures électriques et collecte des données démographiques.</w:t>
      </w:r>
    </w:p>
    <w:p w14:paraId="44AA618B" w14:textId="767B7658" w:rsidR="00FD79E5" w:rsidRPr="00FD79E5" w:rsidRDefault="00FD79E5" w:rsidP="00FD79E5">
      <w:pPr>
        <w:numPr>
          <w:ilvl w:val="0"/>
          <w:numId w:val="40"/>
        </w:numPr>
        <w:spacing w:line="276" w:lineRule="auto"/>
        <w:rPr>
          <w:lang w:val="fr-GA"/>
        </w:rPr>
      </w:pPr>
      <w:r w:rsidRPr="00FD79E5">
        <w:rPr>
          <w:b/>
          <w:bCs/>
          <w:lang w:val="fr-GA"/>
        </w:rPr>
        <w:t>Mbess</w:t>
      </w:r>
      <w:r w:rsidRPr="00FD79E5">
        <w:rPr>
          <w:lang w:val="fr-GA"/>
        </w:rPr>
        <w:t xml:space="preserve"> : Suivi de la mise en œuvre des CCC</w:t>
      </w:r>
      <w:r w:rsidR="006543E1">
        <w:rPr>
          <w:lang w:val="fr-GA"/>
        </w:rPr>
        <w:t xml:space="preserve">. </w:t>
      </w:r>
      <w:r w:rsidR="006543E1">
        <w:rPr>
          <w:noProof/>
        </w:rPr>
        <w:t>L’équipe a constaté que les travaux de construction des logements des enseignants n’ont pas avancé</w:t>
      </w:r>
      <w:r w:rsidRPr="00FD79E5">
        <w:rPr>
          <w:lang w:val="fr-GA"/>
        </w:rPr>
        <w:t xml:space="preserve">, ce qui </w:t>
      </w:r>
      <w:r w:rsidR="006543E1">
        <w:rPr>
          <w:lang w:val="fr-GA"/>
        </w:rPr>
        <w:t>engendre</w:t>
      </w:r>
      <w:r w:rsidRPr="00FD79E5">
        <w:rPr>
          <w:lang w:val="fr-GA"/>
        </w:rPr>
        <w:t xml:space="preserve"> le mécontentement de la communauté.</w:t>
      </w:r>
    </w:p>
    <w:p w14:paraId="576CF839" w14:textId="67D290E9" w:rsidR="00FD79E5" w:rsidRPr="00FD79E5" w:rsidRDefault="00FD79E5" w:rsidP="00FD79E5">
      <w:pPr>
        <w:numPr>
          <w:ilvl w:val="0"/>
          <w:numId w:val="40"/>
        </w:numPr>
        <w:spacing w:line="276" w:lineRule="auto"/>
        <w:rPr>
          <w:lang w:val="fr-GA"/>
        </w:rPr>
      </w:pPr>
      <w:r w:rsidRPr="00FD79E5">
        <w:rPr>
          <w:b/>
          <w:bCs/>
          <w:lang w:val="fr-GA"/>
        </w:rPr>
        <w:t>Bobenda et La Scierie</w:t>
      </w:r>
      <w:r w:rsidRPr="00FD79E5">
        <w:rPr>
          <w:lang w:val="fr-GA"/>
        </w:rPr>
        <w:t xml:space="preserve"> : À Bobenda, visite des champs communautaires de manioc et banane établis grâce au CCC avec TBNI. À La Scierie, clôture réussie du CCC </w:t>
      </w:r>
      <w:r w:rsidR="006543E1">
        <w:rPr>
          <w:lang w:val="fr-GA"/>
        </w:rPr>
        <w:t xml:space="preserve">qui a permis la mise en place d’un </w:t>
      </w:r>
      <w:r w:rsidRPr="00FD79E5">
        <w:rPr>
          <w:lang w:val="fr-GA"/>
        </w:rPr>
        <w:t>élevage de moutons.</w:t>
      </w:r>
    </w:p>
    <w:p w14:paraId="0A7B7DAC" w14:textId="0865F584" w:rsidR="00FD79E5" w:rsidRPr="00FD79E5" w:rsidRDefault="00FD79E5" w:rsidP="00FD79E5">
      <w:pPr>
        <w:numPr>
          <w:ilvl w:val="0"/>
          <w:numId w:val="40"/>
        </w:numPr>
        <w:spacing w:line="276" w:lineRule="auto"/>
        <w:rPr>
          <w:lang w:val="fr-GA"/>
        </w:rPr>
      </w:pPr>
      <w:r w:rsidRPr="00FD79E5">
        <w:rPr>
          <w:b/>
          <w:bCs/>
          <w:lang w:val="fr-GA"/>
        </w:rPr>
        <w:t>Akoba et Balimba</w:t>
      </w:r>
      <w:r w:rsidRPr="00FD79E5">
        <w:rPr>
          <w:lang w:val="fr-GA"/>
        </w:rPr>
        <w:t xml:space="preserve"> : Sensibilisation et enquête sur la mauvaise gestion de</w:t>
      </w:r>
      <w:r w:rsidR="006543E1">
        <w:rPr>
          <w:lang w:val="fr-GA"/>
        </w:rPr>
        <w:t xml:space="preserve">s forêts communautaires </w:t>
      </w:r>
      <w:r w:rsidRPr="00FD79E5">
        <w:rPr>
          <w:lang w:val="fr-GA"/>
        </w:rPr>
        <w:t>(FC), source de tensions au sein des villages.</w:t>
      </w:r>
    </w:p>
    <w:p w14:paraId="3E90F697" w14:textId="77777777" w:rsidR="00FD79E5" w:rsidRPr="00FD79E5" w:rsidRDefault="00FD79E5" w:rsidP="00FD79E5">
      <w:pPr>
        <w:numPr>
          <w:ilvl w:val="0"/>
          <w:numId w:val="40"/>
        </w:numPr>
        <w:spacing w:line="276" w:lineRule="auto"/>
        <w:rPr>
          <w:lang w:val="fr-GA"/>
        </w:rPr>
      </w:pPr>
      <w:r w:rsidRPr="00FD79E5">
        <w:rPr>
          <w:b/>
          <w:bCs/>
          <w:lang w:val="fr-GA"/>
        </w:rPr>
        <w:t>Touné et Balem</w:t>
      </w:r>
      <w:r w:rsidRPr="00FD79E5">
        <w:rPr>
          <w:lang w:val="fr-GA"/>
        </w:rPr>
        <w:t xml:space="preserve"> : À Touné, inspection des plantations pour clôtures électriques et collecte démographique. À Balem, sensibilisation sur la gestion des FC.</w:t>
      </w:r>
    </w:p>
    <w:p w14:paraId="5A50E728" w14:textId="1A70002C" w:rsidR="00FD79E5" w:rsidRPr="00FD79E5" w:rsidRDefault="00FD79E5" w:rsidP="00FD79E5">
      <w:pPr>
        <w:numPr>
          <w:ilvl w:val="0"/>
          <w:numId w:val="40"/>
        </w:numPr>
        <w:spacing w:line="276" w:lineRule="auto"/>
        <w:rPr>
          <w:lang w:val="fr-GA"/>
        </w:rPr>
      </w:pPr>
      <w:r w:rsidRPr="00FD79E5">
        <w:rPr>
          <w:b/>
          <w:bCs/>
          <w:lang w:val="fr-GA"/>
        </w:rPr>
        <w:t>Koumameyong et Djidji</w:t>
      </w:r>
      <w:r w:rsidRPr="00FD79E5">
        <w:rPr>
          <w:lang w:val="fr-GA"/>
        </w:rPr>
        <w:t xml:space="preserve"> : À Koumameyong, appui au comité des sages sur la gestion des FC, avec le constat d’un bureau encore non installé. À Djidji, suivi du CCC avec Rougier, </w:t>
      </w:r>
      <w:r w:rsidR="006543E1">
        <w:rPr>
          <w:lang w:val="fr-GA"/>
        </w:rPr>
        <w:t xml:space="preserve">qui a permis de financer </w:t>
      </w:r>
      <w:r w:rsidRPr="00FD79E5">
        <w:rPr>
          <w:lang w:val="fr-GA"/>
        </w:rPr>
        <w:t>l’électrification du village.</w:t>
      </w:r>
    </w:p>
    <w:p w14:paraId="110DE648" w14:textId="77777777" w:rsidR="006543E1" w:rsidRDefault="006543E1" w:rsidP="00FD79E5">
      <w:pPr>
        <w:spacing w:line="276" w:lineRule="auto"/>
        <w:jc w:val="both"/>
        <w:rPr>
          <w:lang w:val="fr-GA"/>
        </w:rPr>
      </w:pPr>
    </w:p>
    <w:p w14:paraId="78B4BF1B" w14:textId="77777777" w:rsidR="008E1615" w:rsidRDefault="008E1615" w:rsidP="00FD79E5">
      <w:pPr>
        <w:spacing w:line="276" w:lineRule="auto"/>
        <w:jc w:val="both"/>
        <w:rPr>
          <w:lang w:val="fr-GA"/>
        </w:rPr>
      </w:pPr>
    </w:p>
    <w:p w14:paraId="2FA5FB41" w14:textId="77777777" w:rsidR="008E1615" w:rsidRDefault="008E1615" w:rsidP="00FD79E5">
      <w:pPr>
        <w:spacing w:line="276" w:lineRule="auto"/>
        <w:jc w:val="both"/>
        <w:rPr>
          <w:color w:val="000000"/>
          <w:lang w:eastAsia="fr-FR"/>
        </w:rPr>
      </w:pPr>
    </w:p>
    <w:p w14:paraId="321EDD51" w14:textId="77777777" w:rsidR="006543E1" w:rsidRPr="006543E1" w:rsidRDefault="006543E1" w:rsidP="006543E1">
      <w:pPr>
        <w:spacing w:line="276" w:lineRule="auto"/>
        <w:jc w:val="both"/>
        <w:rPr>
          <w:b/>
          <w:bCs/>
          <w:color w:val="000000"/>
          <w:u w:val="single"/>
          <w:lang w:val="fr-GA" w:eastAsia="fr-FR"/>
        </w:rPr>
      </w:pPr>
      <w:r w:rsidRPr="006543E1">
        <w:rPr>
          <w:b/>
          <w:bCs/>
          <w:color w:val="000000"/>
          <w:u w:val="single"/>
          <w:lang w:val="fr-GA" w:eastAsia="fr-FR"/>
        </w:rPr>
        <w:lastRenderedPageBreak/>
        <w:t>Mission sociale dans la province de la Ngounié (21 au 24 décembre 2024)</w:t>
      </w:r>
    </w:p>
    <w:p w14:paraId="651D48E3" w14:textId="5666985E" w:rsidR="006543E1" w:rsidRPr="006543E1" w:rsidRDefault="006543E1" w:rsidP="006543E1">
      <w:pPr>
        <w:spacing w:line="276" w:lineRule="auto"/>
        <w:jc w:val="both"/>
        <w:rPr>
          <w:color w:val="000000"/>
          <w:lang w:val="fr-GA" w:eastAsia="fr-FR"/>
        </w:rPr>
      </w:pPr>
      <w:r w:rsidRPr="006543E1">
        <w:rPr>
          <w:color w:val="000000"/>
          <w:lang w:val="fr-GA" w:eastAsia="fr-FR"/>
        </w:rPr>
        <w:t>Entre le 21 et le 24 décembre 2024,</w:t>
      </w:r>
      <w:r>
        <w:rPr>
          <w:color w:val="000000"/>
          <w:lang w:val="fr-GA" w:eastAsia="fr-FR"/>
        </w:rPr>
        <w:t xml:space="preserve"> le </w:t>
      </w:r>
      <w:r w:rsidRPr="006543E1">
        <w:rPr>
          <w:color w:val="000000"/>
          <w:lang w:val="fr-GA" w:eastAsia="fr-FR"/>
        </w:rPr>
        <w:t xml:space="preserve">coordonnateur technique de la zone sud </w:t>
      </w:r>
      <w:r>
        <w:rPr>
          <w:color w:val="000000"/>
          <w:lang w:val="fr-GA" w:eastAsia="fr-FR"/>
        </w:rPr>
        <w:t xml:space="preserve">accompagné de </w:t>
      </w:r>
      <w:r w:rsidRPr="006543E1">
        <w:rPr>
          <w:color w:val="000000"/>
          <w:lang w:val="fr-GA" w:eastAsia="fr-FR"/>
        </w:rPr>
        <w:t>deux juristes de CJ, s</w:t>
      </w:r>
      <w:r>
        <w:rPr>
          <w:color w:val="000000"/>
          <w:lang w:val="fr-GA" w:eastAsia="fr-FR"/>
        </w:rPr>
        <w:t xml:space="preserve">’est </w:t>
      </w:r>
      <w:r w:rsidRPr="006543E1">
        <w:rPr>
          <w:color w:val="000000"/>
          <w:lang w:val="fr-GA" w:eastAsia="fr-FR"/>
        </w:rPr>
        <w:t>rendu dans la province de la Ngounié pour assurer le suivi juridique des plaintes communautaires.</w:t>
      </w:r>
    </w:p>
    <w:p w14:paraId="2F820BDA" w14:textId="77777777" w:rsidR="006543E1" w:rsidRPr="006543E1" w:rsidRDefault="006543E1" w:rsidP="006543E1">
      <w:pPr>
        <w:numPr>
          <w:ilvl w:val="0"/>
          <w:numId w:val="41"/>
        </w:numPr>
        <w:spacing w:line="276" w:lineRule="auto"/>
        <w:jc w:val="both"/>
        <w:rPr>
          <w:color w:val="000000"/>
          <w:lang w:val="fr-GA" w:eastAsia="fr-FR"/>
        </w:rPr>
      </w:pPr>
      <w:r w:rsidRPr="006543E1">
        <w:rPr>
          <w:b/>
          <w:bCs/>
          <w:color w:val="000000"/>
          <w:lang w:val="fr-GA" w:eastAsia="fr-FR"/>
        </w:rPr>
        <w:t>Mamiengué</w:t>
      </w:r>
      <w:r w:rsidRPr="006543E1">
        <w:rPr>
          <w:color w:val="000000"/>
          <w:lang w:val="fr-GA" w:eastAsia="fr-FR"/>
        </w:rPr>
        <w:t xml:space="preserve"> : L'équipe a rencontré les représentants de l’association DIAMBU-GAMANGU pour le suivi des plaintes contre les entreprises Alpha Production et Padrel.</w:t>
      </w:r>
    </w:p>
    <w:p w14:paraId="2B0D6670" w14:textId="77777777" w:rsidR="006543E1" w:rsidRPr="006543E1" w:rsidRDefault="006543E1" w:rsidP="006543E1">
      <w:pPr>
        <w:numPr>
          <w:ilvl w:val="0"/>
          <w:numId w:val="41"/>
        </w:numPr>
        <w:spacing w:line="276" w:lineRule="auto"/>
        <w:jc w:val="both"/>
        <w:rPr>
          <w:color w:val="000000"/>
          <w:lang w:val="fr-GA" w:eastAsia="fr-FR"/>
        </w:rPr>
      </w:pPr>
      <w:r w:rsidRPr="006543E1">
        <w:rPr>
          <w:b/>
          <w:bCs/>
          <w:color w:val="000000"/>
          <w:lang w:val="fr-GA" w:eastAsia="fr-FR"/>
        </w:rPr>
        <w:t>Kouagna-Ndougou</w:t>
      </w:r>
      <w:r w:rsidRPr="006543E1">
        <w:rPr>
          <w:color w:val="000000"/>
          <w:lang w:val="fr-GA" w:eastAsia="fr-FR"/>
        </w:rPr>
        <w:t xml:space="preserve"> : Des échanges ont eu lieu avec l’association TOKANO pour le suivi de la plainte contre SBN.</w:t>
      </w:r>
    </w:p>
    <w:p w14:paraId="26FD7A21" w14:textId="77777777" w:rsidR="006543E1" w:rsidRDefault="006543E1" w:rsidP="006543E1">
      <w:pPr>
        <w:numPr>
          <w:ilvl w:val="0"/>
          <w:numId w:val="41"/>
        </w:numPr>
        <w:spacing w:line="276" w:lineRule="auto"/>
        <w:jc w:val="both"/>
        <w:rPr>
          <w:color w:val="000000"/>
          <w:lang w:val="fr-GA" w:eastAsia="fr-FR"/>
        </w:rPr>
      </w:pPr>
      <w:r w:rsidRPr="006543E1">
        <w:rPr>
          <w:b/>
          <w:bCs/>
          <w:color w:val="000000"/>
          <w:lang w:val="fr-GA" w:eastAsia="fr-FR"/>
        </w:rPr>
        <w:t>Village de Bemboudié</w:t>
      </w:r>
      <w:r w:rsidRPr="006543E1">
        <w:rPr>
          <w:color w:val="000000"/>
          <w:lang w:val="fr-GA" w:eastAsia="fr-FR"/>
        </w:rPr>
        <w:t xml:space="preserve"> : Une sensibilisation a été menée auprès de la communauté sur la bonne gestion de la forêt communautaire.</w:t>
      </w:r>
    </w:p>
    <w:p w14:paraId="2E3B4B50" w14:textId="3AA1DABA" w:rsidR="006543E1" w:rsidRPr="006543E1" w:rsidRDefault="006543E1" w:rsidP="00FD79E5">
      <w:pPr>
        <w:spacing w:line="276" w:lineRule="auto"/>
        <w:jc w:val="both"/>
        <w:rPr>
          <w:color w:val="000000"/>
          <w:lang w:val="fr-GA" w:eastAsia="fr-FR"/>
        </w:rPr>
      </w:pPr>
      <w:r>
        <w:rPr>
          <w:color w:val="000000"/>
          <w:lang w:val="fr-GA" w:eastAsia="fr-FR"/>
        </w:rPr>
        <w:t>En plus de cela, l</w:t>
      </w:r>
      <w:r w:rsidRPr="006543E1">
        <w:rPr>
          <w:color w:val="000000"/>
          <w:lang w:val="fr-GA" w:eastAsia="fr-FR"/>
        </w:rPr>
        <w:t>’équipe a discuté avec des acteurs locaux, notamment l’intérimaire du Responsable social de la DP, le commandant adjoint de l'antenne DGR, et le Procureur de la République, concernant les plaintes de MABANGA, MOUYAMBA, MEMBA et Mamiengué.</w:t>
      </w:r>
    </w:p>
    <w:p w14:paraId="38BAD899" w14:textId="77777777" w:rsidR="008E1615" w:rsidRPr="008E1615" w:rsidRDefault="008E1615" w:rsidP="00FD79E5">
      <w:pPr>
        <w:spacing w:line="276" w:lineRule="auto"/>
        <w:jc w:val="both"/>
        <w:rPr>
          <w:lang w:val="fr-GA"/>
        </w:rPr>
      </w:pPr>
    </w:p>
    <w:p w14:paraId="3EE15D13" w14:textId="77777777" w:rsidR="008E1615" w:rsidRDefault="008E1615" w:rsidP="008E1615">
      <w:pPr>
        <w:spacing w:line="276" w:lineRule="auto"/>
        <w:jc w:val="both"/>
      </w:pPr>
      <w:r w:rsidRPr="002A023A">
        <w:t>Au total, l</w:t>
      </w:r>
      <w:r>
        <w:t>es</w:t>
      </w:r>
      <w:r w:rsidRPr="002A023A">
        <w:t xml:space="preserve"> miss</w:t>
      </w:r>
      <w:r>
        <w:t>ions sociales nord et sud du mois de Décem</w:t>
      </w:r>
      <w:r w:rsidRPr="002A023A">
        <w:t>bre</w:t>
      </w:r>
      <w:r>
        <w:t xml:space="preserve"> 2024 réalisées dans le cadre du projet ALEFI</w:t>
      </w:r>
      <w:r w:rsidRPr="002A023A">
        <w:t xml:space="preserve"> </w:t>
      </w:r>
      <w:r>
        <w:t>ont</w:t>
      </w:r>
      <w:r w:rsidRPr="002A023A">
        <w:t xml:space="preserve"> permis</w:t>
      </w:r>
      <w:r>
        <w:t xml:space="preserve"> de faire état des lieux du suivi de la mise en œuvre des cahiers de charges contractuelles dans les villages. Aussi, il était question d’exhumer les procédures de plaintes des communautés au tribunal de Makokou et au tribunal de Mouila. Certains cahiers de charges ont bien été mis en œuvre grâce à un meilleur suivi. </w:t>
      </w:r>
    </w:p>
    <w:p w14:paraId="66BC888E" w14:textId="77777777" w:rsidR="008E1615" w:rsidRDefault="008E1615" w:rsidP="008E1615">
      <w:pPr>
        <w:spacing w:line="276" w:lineRule="auto"/>
        <w:jc w:val="both"/>
      </w:pPr>
    </w:p>
    <w:p w14:paraId="331FCC52" w14:textId="571A09DA" w:rsidR="008E1615" w:rsidRPr="00540ED6" w:rsidRDefault="008E1615" w:rsidP="008E1615">
      <w:pPr>
        <w:spacing w:line="276" w:lineRule="auto"/>
        <w:jc w:val="both"/>
        <w:rPr>
          <w:rFonts w:eastAsiaTheme="minorHAnsi"/>
          <w:b/>
          <w:kern w:val="2"/>
        </w:rPr>
      </w:pPr>
      <w:r>
        <w:t>Au cours de ces missions, les équipe nord et sud ont visités treize (13</w:t>
      </w:r>
      <w:r w:rsidRPr="002A023A">
        <w:t>) localités,</w:t>
      </w:r>
      <w:r>
        <w:t xml:space="preserve"> à savoir :</w:t>
      </w:r>
      <w:r w:rsidRPr="002C35AA">
        <w:rPr>
          <w:b/>
        </w:rPr>
        <w:t xml:space="preserve"> </w:t>
      </w:r>
      <w:r>
        <w:rPr>
          <w:b/>
        </w:rPr>
        <w:t>E</w:t>
      </w:r>
      <w:r w:rsidRPr="0029398B">
        <w:rPr>
          <w:b/>
        </w:rPr>
        <w:t>byeng</w:t>
      </w:r>
      <w:r w:rsidRPr="0029398B">
        <w:t xml:space="preserve">, </w:t>
      </w:r>
      <w:r>
        <w:rPr>
          <w:b/>
        </w:rPr>
        <w:t>M</w:t>
      </w:r>
      <w:r w:rsidRPr="0029398B">
        <w:rPr>
          <w:b/>
        </w:rPr>
        <w:t>bess</w:t>
      </w:r>
      <w:r w:rsidRPr="0029398B">
        <w:t xml:space="preserve">, </w:t>
      </w:r>
      <w:r>
        <w:rPr>
          <w:b/>
        </w:rPr>
        <w:t>B</w:t>
      </w:r>
      <w:r w:rsidRPr="0029398B">
        <w:rPr>
          <w:b/>
        </w:rPr>
        <w:t>obenda</w:t>
      </w:r>
      <w:r w:rsidRPr="0029398B">
        <w:t xml:space="preserve">, </w:t>
      </w:r>
      <w:r w:rsidRPr="0029398B">
        <w:rPr>
          <w:b/>
        </w:rPr>
        <w:t>la scierie</w:t>
      </w:r>
      <w:r w:rsidRPr="0029398B">
        <w:t xml:space="preserve">, </w:t>
      </w:r>
      <w:r>
        <w:rPr>
          <w:b/>
        </w:rPr>
        <w:t>A</w:t>
      </w:r>
      <w:r w:rsidRPr="0029398B">
        <w:rPr>
          <w:b/>
        </w:rPr>
        <w:t>koba</w:t>
      </w:r>
      <w:r w:rsidRPr="0029398B">
        <w:t xml:space="preserve">, </w:t>
      </w:r>
      <w:r>
        <w:rPr>
          <w:b/>
        </w:rPr>
        <w:t>B</w:t>
      </w:r>
      <w:r w:rsidRPr="0029398B">
        <w:rPr>
          <w:b/>
        </w:rPr>
        <w:t>alem</w:t>
      </w:r>
      <w:r w:rsidRPr="0029398B">
        <w:t xml:space="preserve">, </w:t>
      </w:r>
      <w:r>
        <w:rPr>
          <w:b/>
        </w:rPr>
        <w:t>T</w:t>
      </w:r>
      <w:r w:rsidRPr="0029398B">
        <w:rPr>
          <w:b/>
        </w:rPr>
        <w:t>oune</w:t>
      </w:r>
      <w:r w:rsidRPr="0029398B">
        <w:t xml:space="preserve">, </w:t>
      </w:r>
      <w:r>
        <w:rPr>
          <w:b/>
        </w:rPr>
        <w:t>B</w:t>
      </w:r>
      <w:r w:rsidRPr="0029398B">
        <w:rPr>
          <w:b/>
        </w:rPr>
        <w:t>alimba</w:t>
      </w:r>
      <w:r w:rsidRPr="0029398B">
        <w:t xml:space="preserve">, </w:t>
      </w:r>
      <w:r>
        <w:rPr>
          <w:b/>
        </w:rPr>
        <w:t>K</w:t>
      </w:r>
      <w:r w:rsidRPr="0029398B">
        <w:rPr>
          <w:b/>
        </w:rPr>
        <w:t>oumameyong</w:t>
      </w:r>
      <w:r>
        <w:rPr>
          <w:b/>
        </w:rPr>
        <w:t>, D</w:t>
      </w:r>
      <w:r w:rsidRPr="0029398B">
        <w:rPr>
          <w:b/>
        </w:rPr>
        <w:t>jidji</w:t>
      </w:r>
      <w:r>
        <w:rPr>
          <w:b/>
        </w:rPr>
        <w:t>,</w:t>
      </w:r>
      <w:r w:rsidRPr="00634BDF">
        <w:rPr>
          <w:rFonts w:eastAsiaTheme="minorHAnsi"/>
          <w:b/>
          <w:kern w:val="2"/>
        </w:rPr>
        <w:t xml:space="preserve"> </w:t>
      </w:r>
      <w:r>
        <w:rPr>
          <w:rFonts w:eastAsiaTheme="minorHAnsi"/>
          <w:b/>
          <w:kern w:val="2"/>
        </w:rPr>
        <w:t xml:space="preserve">Mamiengué, Kouagna-Ndougou </w:t>
      </w:r>
      <w:r w:rsidRPr="00551475">
        <w:rPr>
          <w:rFonts w:eastAsiaTheme="minorHAnsi"/>
          <w:kern w:val="2"/>
        </w:rPr>
        <w:t>et</w:t>
      </w:r>
      <w:r>
        <w:rPr>
          <w:rFonts w:eastAsiaTheme="minorHAnsi"/>
          <w:b/>
          <w:kern w:val="2"/>
        </w:rPr>
        <w:t xml:space="preserve"> Bemboudié.</w:t>
      </w:r>
    </w:p>
    <w:p w14:paraId="3C285FB7" w14:textId="77777777" w:rsidR="00777452" w:rsidRDefault="00777452" w:rsidP="00FD79E5">
      <w:pPr>
        <w:spacing w:line="276" w:lineRule="auto"/>
        <w:jc w:val="both"/>
      </w:pPr>
    </w:p>
    <w:p w14:paraId="711E7EE0" w14:textId="77777777" w:rsidR="005707C0" w:rsidRPr="00FE2A99" w:rsidRDefault="005707C0" w:rsidP="00FD79E5">
      <w:pPr>
        <w:pStyle w:val="Titre1"/>
        <w:spacing w:line="276" w:lineRule="auto"/>
        <w:ind w:left="426"/>
        <w:rPr>
          <w:i/>
          <w:iCs/>
          <w:sz w:val="24"/>
          <w:szCs w:val="24"/>
        </w:rPr>
      </w:pPr>
      <w:bookmarkStart w:id="7" w:name="_Toc118989103"/>
      <w:r w:rsidRPr="00FE2A99">
        <w:rPr>
          <w:rStyle w:val="Accentuation"/>
          <w:sz w:val="24"/>
          <w:szCs w:val="24"/>
        </w:rPr>
        <w:t>6. Cahiers des Charges Contractuels</w:t>
      </w:r>
      <w:bookmarkEnd w:id="7"/>
    </w:p>
    <w:p w14:paraId="39F65D33" w14:textId="77777777" w:rsidR="005707C0" w:rsidRDefault="005707C0" w:rsidP="00FD79E5">
      <w:pPr>
        <w:spacing w:line="276" w:lineRule="auto"/>
        <w:jc w:val="both"/>
        <w:rPr>
          <w:rFonts w:asciiTheme="minorHAnsi" w:hAnsiTheme="minorHAnsi" w:cstheme="minorHAnsi"/>
        </w:rPr>
      </w:pPr>
    </w:p>
    <w:p w14:paraId="0463A069" w14:textId="18209ABE" w:rsidR="00976222" w:rsidRPr="00976222" w:rsidRDefault="00976222" w:rsidP="00FD79E5">
      <w:pPr>
        <w:spacing w:line="276" w:lineRule="auto"/>
        <w:jc w:val="both"/>
      </w:pPr>
      <w:r w:rsidRPr="00D86D2F">
        <w:t xml:space="preserve">A ce jour, </w:t>
      </w:r>
      <w:r w:rsidR="00540ED6">
        <w:t>195</w:t>
      </w:r>
      <w:r w:rsidRPr="00D86D2F">
        <w:t xml:space="preserve"> Cahiers des Charges Contractuels en cours de mise en œuvre sont suivis par le projet.</w:t>
      </w:r>
    </w:p>
    <w:p w14:paraId="5881BE05" w14:textId="77777777" w:rsidR="00976222" w:rsidRPr="00976222" w:rsidRDefault="00976222" w:rsidP="00FD79E5">
      <w:pPr>
        <w:spacing w:line="276" w:lineRule="auto"/>
        <w:jc w:val="both"/>
      </w:pPr>
    </w:p>
    <w:p w14:paraId="5A3CF2F7" w14:textId="34F98963" w:rsidR="00F82DA0" w:rsidRDefault="00540ED6" w:rsidP="00540ED6">
      <w:pPr>
        <w:spacing w:line="276" w:lineRule="auto"/>
        <w:jc w:val="center"/>
        <w:rPr>
          <w:b/>
          <w:color w:val="000000" w:themeColor="text1"/>
        </w:rPr>
      </w:pPr>
      <w:r>
        <w:rPr>
          <w:noProof/>
        </w:rPr>
        <w:drawing>
          <wp:inline distT="0" distB="0" distL="0" distR="0" wp14:anchorId="64185F26" wp14:editId="1093655B">
            <wp:extent cx="4572000" cy="1943100"/>
            <wp:effectExtent l="0" t="0" r="0" b="0"/>
            <wp:docPr id="336147557" name="Graphique 1">
              <a:extLst xmlns:a="http://schemas.openxmlformats.org/drawingml/2006/main">
                <a:ext uri="{FF2B5EF4-FFF2-40B4-BE49-F238E27FC236}">
                  <a16:creationId xmlns:a16="http://schemas.microsoft.com/office/drawing/2014/main" id="{982709EE-7A2A-1C6C-F3E6-5AB8C48231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DD486A" w14:textId="77777777" w:rsidR="00540ED6" w:rsidRDefault="00540ED6" w:rsidP="00FD79E5">
      <w:pPr>
        <w:spacing w:line="276" w:lineRule="auto"/>
        <w:jc w:val="both"/>
        <w:rPr>
          <w:b/>
          <w:color w:val="000000" w:themeColor="text1"/>
        </w:rPr>
      </w:pPr>
    </w:p>
    <w:p w14:paraId="1940A605" w14:textId="77777777" w:rsidR="00540ED6" w:rsidRPr="00976222" w:rsidRDefault="00540ED6" w:rsidP="00FD79E5">
      <w:pPr>
        <w:spacing w:line="276" w:lineRule="auto"/>
        <w:jc w:val="both"/>
        <w:rPr>
          <w:b/>
          <w:color w:val="000000" w:themeColor="text1"/>
        </w:rPr>
      </w:pPr>
    </w:p>
    <w:tbl>
      <w:tblPr>
        <w:tblStyle w:val="Grilledutableau1"/>
        <w:tblW w:w="6732" w:type="dxa"/>
        <w:jc w:val="center"/>
        <w:tblLook w:val="04A0" w:firstRow="1" w:lastRow="0" w:firstColumn="1" w:lastColumn="0" w:noHBand="0" w:noVBand="1"/>
      </w:tblPr>
      <w:tblGrid>
        <w:gridCol w:w="4039"/>
        <w:gridCol w:w="2693"/>
      </w:tblGrid>
      <w:tr w:rsidR="00F82DA0" w:rsidRPr="00976222" w14:paraId="534CF38A" w14:textId="77777777" w:rsidTr="007A2C0C">
        <w:trPr>
          <w:trHeight w:val="290"/>
          <w:jc w:val="center"/>
        </w:trPr>
        <w:tc>
          <w:tcPr>
            <w:tcW w:w="4039" w:type="dxa"/>
            <w:noWrap/>
            <w:hideMark/>
          </w:tcPr>
          <w:p w14:paraId="6F41CDB6" w14:textId="77777777" w:rsidR="00F82DA0" w:rsidRPr="00976222" w:rsidRDefault="00F82DA0" w:rsidP="00FD79E5">
            <w:pPr>
              <w:spacing w:line="276" w:lineRule="auto"/>
              <w:jc w:val="both"/>
              <w:rPr>
                <w:b/>
                <w:bCs/>
                <w:color w:val="000000" w:themeColor="text1"/>
              </w:rPr>
            </w:pPr>
            <w:r w:rsidRPr="00976222">
              <w:rPr>
                <w:b/>
                <w:bCs/>
                <w:color w:val="000000" w:themeColor="text1"/>
              </w:rPr>
              <w:lastRenderedPageBreak/>
              <w:t>Stade de mise en œuvre</w:t>
            </w:r>
          </w:p>
        </w:tc>
        <w:tc>
          <w:tcPr>
            <w:tcW w:w="2693" w:type="dxa"/>
            <w:noWrap/>
            <w:hideMark/>
          </w:tcPr>
          <w:p w14:paraId="4A7DB31B" w14:textId="25613AC7" w:rsidR="00F82DA0" w:rsidRPr="00976222" w:rsidRDefault="00F82DA0" w:rsidP="00FD79E5">
            <w:pPr>
              <w:spacing w:line="276" w:lineRule="auto"/>
              <w:jc w:val="both"/>
              <w:rPr>
                <w:b/>
                <w:bCs/>
                <w:color w:val="000000" w:themeColor="text1"/>
              </w:rPr>
            </w:pPr>
            <w:r w:rsidRPr="00976222">
              <w:rPr>
                <w:b/>
                <w:bCs/>
                <w:color w:val="000000" w:themeColor="text1"/>
              </w:rPr>
              <w:t>Nombre de CCC</w:t>
            </w:r>
          </w:p>
        </w:tc>
      </w:tr>
      <w:tr w:rsidR="00F82DA0" w:rsidRPr="00976222" w14:paraId="13CE5D80" w14:textId="77777777" w:rsidTr="007A2C0C">
        <w:trPr>
          <w:trHeight w:val="290"/>
          <w:jc w:val="center"/>
        </w:trPr>
        <w:tc>
          <w:tcPr>
            <w:tcW w:w="4039" w:type="dxa"/>
            <w:noWrap/>
            <w:hideMark/>
          </w:tcPr>
          <w:p w14:paraId="4A27E214" w14:textId="77777777" w:rsidR="00F82DA0" w:rsidRPr="00976222" w:rsidRDefault="00F82DA0" w:rsidP="00FD79E5">
            <w:pPr>
              <w:spacing w:line="276" w:lineRule="auto"/>
              <w:jc w:val="both"/>
              <w:rPr>
                <w:color w:val="000000" w:themeColor="text1"/>
              </w:rPr>
            </w:pPr>
            <w:r w:rsidRPr="00976222">
              <w:rPr>
                <w:color w:val="000000" w:themeColor="text1"/>
              </w:rPr>
              <w:t>En attente des projets des communautés</w:t>
            </w:r>
          </w:p>
        </w:tc>
        <w:tc>
          <w:tcPr>
            <w:tcW w:w="2693" w:type="dxa"/>
            <w:noWrap/>
            <w:hideMark/>
          </w:tcPr>
          <w:p w14:paraId="7718F726" w14:textId="6D674A02" w:rsidR="00F82DA0" w:rsidRPr="00976222" w:rsidRDefault="00404124" w:rsidP="00FD79E5">
            <w:pPr>
              <w:spacing w:line="276" w:lineRule="auto"/>
              <w:jc w:val="both"/>
              <w:rPr>
                <w:color w:val="000000" w:themeColor="text1"/>
              </w:rPr>
            </w:pPr>
            <w:r>
              <w:rPr>
                <w:color w:val="000000" w:themeColor="text1"/>
              </w:rPr>
              <w:t>34</w:t>
            </w:r>
          </w:p>
        </w:tc>
      </w:tr>
      <w:tr w:rsidR="006E3802" w:rsidRPr="00976222" w14:paraId="445012D1" w14:textId="77777777" w:rsidTr="007A2C0C">
        <w:trPr>
          <w:trHeight w:val="290"/>
          <w:jc w:val="center"/>
        </w:trPr>
        <w:tc>
          <w:tcPr>
            <w:tcW w:w="4039" w:type="dxa"/>
            <w:noWrap/>
          </w:tcPr>
          <w:p w14:paraId="6EE5B22B" w14:textId="77777777" w:rsidR="006E3802" w:rsidRPr="00976222" w:rsidRDefault="006E3802" w:rsidP="00FD79E5">
            <w:pPr>
              <w:spacing w:line="276" w:lineRule="auto"/>
              <w:jc w:val="both"/>
              <w:rPr>
                <w:color w:val="000000" w:themeColor="text1"/>
              </w:rPr>
            </w:pPr>
            <w:r w:rsidRPr="00976222">
              <w:rPr>
                <w:color w:val="000000" w:themeColor="text1"/>
              </w:rPr>
              <w:t>En attente de validation du projet par le CGSP</w:t>
            </w:r>
          </w:p>
        </w:tc>
        <w:tc>
          <w:tcPr>
            <w:tcW w:w="2693" w:type="dxa"/>
            <w:noWrap/>
          </w:tcPr>
          <w:p w14:paraId="7CF0FE13" w14:textId="421B5347" w:rsidR="006E3802" w:rsidRPr="00976222" w:rsidRDefault="00404124" w:rsidP="00FD79E5">
            <w:pPr>
              <w:spacing w:line="276" w:lineRule="auto"/>
              <w:jc w:val="both"/>
              <w:rPr>
                <w:color w:val="000000" w:themeColor="text1"/>
              </w:rPr>
            </w:pPr>
            <w:r>
              <w:rPr>
                <w:color w:val="000000" w:themeColor="text1"/>
              </w:rPr>
              <w:t>8</w:t>
            </w:r>
          </w:p>
        </w:tc>
      </w:tr>
      <w:tr w:rsidR="00F82DA0" w:rsidRPr="00976222" w14:paraId="7CAEF7C3" w14:textId="77777777" w:rsidTr="007A2C0C">
        <w:trPr>
          <w:trHeight w:val="290"/>
          <w:jc w:val="center"/>
        </w:trPr>
        <w:tc>
          <w:tcPr>
            <w:tcW w:w="4039" w:type="dxa"/>
            <w:noWrap/>
            <w:hideMark/>
          </w:tcPr>
          <w:p w14:paraId="4EEEB5C4" w14:textId="77777777" w:rsidR="00F82DA0" w:rsidRPr="00976222" w:rsidRDefault="00F82DA0" w:rsidP="00FD79E5">
            <w:pPr>
              <w:spacing w:line="276" w:lineRule="auto"/>
              <w:jc w:val="both"/>
              <w:rPr>
                <w:color w:val="000000" w:themeColor="text1"/>
              </w:rPr>
            </w:pPr>
            <w:r w:rsidRPr="00976222">
              <w:rPr>
                <w:color w:val="000000" w:themeColor="text1"/>
              </w:rPr>
              <w:t>En attente du versement du FDL</w:t>
            </w:r>
          </w:p>
        </w:tc>
        <w:tc>
          <w:tcPr>
            <w:tcW w:w="2693" w:type="dxa"/>
            <w:noWrap/>
            <w:hideMark/>
          </w:tcPr>
          <w:p w14:paraId="36BFF1E0" w14:textId="4AEBE641" w:rsidR="00F82DA0" w:rsidRPr="00976222" w:rsidRDefault="00540ED6" w:rsidP="00FD79E5">
            <w:pPr>
              <w:spacing w:line="276" w:lineRule="auto"/>
              <w:jc w:val="both"/>
              <w:rPr>
                <w:color w:val="000000" w:themeColor="text1"/>
              </w:rPr>
            </w:pPr>
            <w:r>
              <w:rPr>
                <w:color w:val="000000" w:themeColor="text1"/>
              </w:rPr>
              <w:t>58</w:t>
            </w:r>
          </w:p>
        </w:tc>
      </w:tr>
      <w:tr w:rsidR="00F82DA0" w:rsidRPr="00976222" w14:paraId="0D0E2B76" w14:textId="77777777" w:rsidTr="007A2C0C">
        <w:trPr>
          <w:trHeight w:val="290"/>
          <w:jc w:val="center"/>
        </w:trPr>
        <w:tc>
          <w:tcPr>
            <w:tcW w:w="4039" w:type="dxa"/>
            <w:noWrap/>
            <w:hideMark/>
          </w:tcPr>
          <w:p w14:paraId="5F63E86D" w14:textId="77777777" w:rsidR="00F82DA0" w:rsidRPr="00976222" w:rsidRDefault="00F82DA0" w:rsidP="00FD79E5">
            <w:pPr>
              <w:spacing w:line="276" w:lineRule="auto"/>
              <w:jc w:val="both"/>
              <w:rPr>
                <w:color w:val="000000" w:themeColor="text1"/>
              </w:rPr>
            </w:pPr>
            <w:r w:rsidRPr="00976222">
              <w:rPr>
                <w:color w:val="000000" w:themeColor="text1"/>
              </w:rPr>
              <w:t>Mise en œuvre projets en cours</w:t>
            </w:r>
          </w:p>
        </w:tc>
        <w:tc>
          <w:tcPr>
            <w:tcW w:w="2693" w:type="dxa"/>
            <w:noWrap/>
            <w:hideMark/>
          </w:tcPr>
          <w:p w14:paraId="16D88FB7" w14:textId="608DCE43" w:rsidR="00F82DA0" w:rsidRPr="00976222" w:rsidRDefault="00404124" w:rsidP="00FD79E5">
            <w:pPr>
              <w:spacing w:line="276" w:lineRule="auto"/>
              <w:jc w:val="both"/>
              <w:rPr>
                <w:color w:val="000000" w:themeColor="text1"/>
              </w:rPr>
            </w:pPr>
            <w:r>
              <w:rPr>
                <w:color w:val="000000" w:themeColor="text1"/>
              </w:rPr>
              <w:t>6</w:t>
            </w:r>
            <w:r w:rsidR="00540ED6">
              <w:rPr>
                <w:color w:val="000000" w:themeColor="text1"/>
              </w:rPr>
              <w:t>7</w:t>
            </w:r>
          </w:p>
        </w:tc>
      </w:tr>
      <w:tr w:rsidR="006E3802" w:rsidRPr="00976222" w14:paraId="68AC74B0" w14:textId="77777777" w:rsidTr="007A2C0C">
        <w:trPr>
          <w:trHeight w:val="290"/>
          <w:jc w:val="center"/>
        </w:trPr>
        <w:tc>
          <w:tcPr>
            <w:tcW w:w="4039" w:type="dxa"/>
            <w:noWrap/>
          </w:tcPr>
          <w:p w14:paraId="73A60862" w14:textId="77777777" w:rsidR="006E3802" w:rsidRPr="00976222" w:rsidRDefault="006E3802" w:rsidP="00FD79E5">
            <w:pPr>
              <w:spacing w:line="276" w:lineRule="auto"/>
              <w:jc w:val="both"/>
              <w:rPr>
                <w:color w:val="000000" w:themeColor="text1"/>
              </w:rPr>
            </w:pPr>
            <w:r w:rsidRPr="00976222">
              <w:rPr>
                <w:color w:val="000000" w:themeColor="text1"/>
              </w:rPr>
              <w:t>Mise en œuvre des projets à l’arrêt</w:t>
            </w:r>
          </w:p>
        </w:tc>
        <w:tc>
          <w:tcPr>
            <w:tcW w:w="2693" w:type="dxa"/>
            <w:noWrap/>
          </w:tcPr>
          <w:p w14:paraId="439C927C" w14:textId="3E8481BF" w:rsidR="006E3802" w:rsidRPr="00976222" w:rsidRDefault="00404124" w:rsidP="00FD79E5">
            <w:pPr>
              <w:spacing w:line="276" w:lineRule="auto"/>
              <w:jc w:val="both"/>
              <w:rPr>
                <w:color w:val="000000" w:themeColor="text1"/>
              </w:rPr>
            </w:pPr>
            <w:r>
              <w:rPr>
                <w:color w:val="000000" w:themeColor="text1"/>
              </w:rPr>
              <w:t>28</w:t>
            </w:r>
          </w:p>
        </w:tc>
      </w:tr>
      <w:tr w:rsidR="00F82DA0" w:rsidRPr="00976222" w14:paraId="2E6464AE" w14:textId="77777777" w:rsidTr="007A2C0C">
        <w:trPr>
          <w:trHeight w:val="290"/>
          <w:jc w:val="center"/>
        </w:trPr>
        <w:tc>
          <w:tcPr>
            <w:tcW w:w="4039" w:type="dxa"/>
            <w:noWrap/>
            <w:hideMark/>
          </w:tcPr>
          <w:p w14:paraId="3B057561" w14:textId="77777777" w:rsidR="00F82DA0" w:rsidRPr="00976222" w:rsidRDefault="00F82DA0" w:rsidP="00FD79E5">
            <w:pPr>
              <w:spacing w:line="276" w:lineRule="auto"/>
              <w:jc w:val="both"/>
              <w:rPr>
                <w:b/>
                <w:bCs/>
                <w:color w:val="000000" w:themeColor="text1"/>
              </w:rPr>
            </w:pPr>
            <w:r w:rsidRPr="00976222">
              <w:rPr>
                <w:b/>
                <w:bCs/>
                <w:color w:val="000000" w:themeColor="text1"/>
              </w:rPr>
              <w:t>Total général</w:t>
            </w:r>
          </w:p>
        </w:tc>
        <w:tc>
          <w:tcPr>
            <w:tcW w:w="2693" w:type="dxa"/>
            <w:noWrap/>
            <w:hideMark/>
          </w:tcPr>
          <w:p w14:paraId="5B74E43A" w14:textId="0BBD3BF9" w:rsidR="00F82DA0" w:rsidRPr="00976222" w:rsidRDefault="00404124" w:rsidP="00FD79E5">
            <w:pPr>
              <w:spacing w:line="276" w:lineRule="auto"/>
              <w:jc w:val="both"/>
              <w:rPr>
                <w:b/>
                <w:bCs/>
                <w:color w:val="000000" w:themeColor="text1"/>
              </w:rPr>
            </w:pPr>
            <w:r>
              <w:rPr>
                <w:b/>
                <w:bCs/>
                <w:color w:val="000000" w:themeColor="text1"/>
              </w:rPr>
              <w:t>19</w:t>
            </w:r>
            <w:r w:rsidR="00540ED6">
              <w:rPr>
                <w:b/>
                <w:bCs/>
                <w:color w:val="000000" w:themeColor="text1"/>
              </w:rPr>
              <w:t>5</w:t>
            </w:r>
          </w:p>
        </w:tc>
      </w:tr>
    </w:tbl>
    <w:p w14:paraId="5C77385B" w14:textId="77777777" w:rsidR="00142035" w:rsidRPr="00682A96" w:rsidRDefault="00142035" w:rsidP="00FD79E5">
      <w:pPr>
        <w:pStyle w:val="Paragraphedeliste"/>
        <w:spacing w:line="276" w:lineRule="auto"/>
        <w:ind w:left="-142"/>
        <w:jc w:val="both"/>
        <w:rPr>
          <w:b/>
        </w:rPr>
      </w:pPr>
    </w:p>
    <w:p w14:paraId="64B9F065" w14:textId="77777777" w:rsidR="006E3802" w:rsidRDefault="006E3802" w:rsidP="00FD79E5">
      <w:pPr>
        <w:spacing w:line="276" w:lineRule="auto"/>
        <w:jc w:val="both"/>
        <w:rPr>
          <w:rStyle w:val="Accentuation"/>
          <w:b/>
          <w:bCs/>
          <w:lang w:val="fr-CH" w:bidi="he-IL"/>
        </w:rPr>
      </w:pPr>
      <w:bookmarkStart w:id="8" w:name="_Toc118989104"/>
    </w:p>
    <w:p w14:paraId="4C483DC3" w14:textId="77777777" w:rsidR="000A591E" w:rsidRPr="00682A96" w:rsidRDefault="00E63416" w:rsidP="00FD79E5">
      <w:pPr>
        <w:pStyle w:val="Titre1"/>
        <w:spacing w:line="276" w:lineRule="auto"/>
        <w:rPr>
          <w:rStyle w:val="Accentuation"/>
          <w:rFonts w:ascii="Times New Roman" w:hAnsi="Times New Roman" w:cs="Times New Roman"/>
          <w:sz w:val="24"/>
          <w:szCs w:val="24"/>
        </w:rPr>
      </w:pPr>
      <w:r w:rsidRPr="00682A96">
        <w:rPr>
          <w:rStyle w:val="Accentuation"/>
          <w:rFonts w:ascii="Times New Roman" w:hAnsi="Times New Roman" w:cs="Times New Roman"/>
          <w:sz w:val="24"/>
          <w:szCs w:val="24"/>
        </w:rPr>
        <w:t>7</w:t>
      </w:r>
      <w:r w:rsidR="000A591E" w:rsidRPr="00682A96">
        <w:rPr>
          <w:rStyle w:val="Accentuation"/>
          <w:rFonts w:ascii="Times New Roman" w:hAnsi="Times New Roman" w:cs="Times New Roman"/>
          <w:sz w:val="24"/>
          <w:szCs w:val="24"/>
        </w:rPr>
        <w:t>. Communication</w:t>
      </w:r>
      <w:bookmarkEnd w:id="8"/>
    </w:p>
    <w:p w14:paraId="0A765156" w14:textId="42C26F92" w:rsidR="000A591E" w:rsidRDefault="000A591E" w:rsidP="00FD79E5">
      <w:pPr>
        <w:spacing w:line="276" w:lineRule="auto"/>
        <w:jc w:val="both"/>
        <w:rPr>
          <w:rStyle w:val="Accentuation"/>
          <w:i w:val="0"/>
        </w:rPr>
      </w:pPr>
    </w:p>
    <w:p w14:paraId="410868E5" w14:textId="1EC3CCA3" w:rsidR="000A591E" w:rsidRPr="00682A96" w:rsidRDefault="000A591E" w:rsidP="00FD79E5">
      <w:pPr>
        <w:spacing w:line="276" w:lineRule="auto"/>
        <w:jc w:val="both"/>
        <w:rPr>
          <w:rStyle w:val="Accentuation"/>
        </w:rPr>
      </w:pPr>
      <w:r w:rsidRPr="00682A96">
        <w:rPr>
          <w:rStyle w:val="Accentuation"/>
        </w:rPr>
        <w:t>Indicateurs :</w:t>
      </w:r>
    </w:p>
    <w:tbl>
      <w:tblPr>
        <w:tblStyle w:val="Grilledetableauclaire1"/>
        <w:tblW w:w="9031" w:type="dxa"/>
        <w:tblLook w:val="04A0" w:firstRow="1" w:lastRow="0" w:firstColumn="1" w:lastColumn="0" w:noHBand="0" w:noVBand="1"/>
      </w:tblPr>
      <w:tblGrid>
        <w:gridCol w:w="4675"/>
        <w:gridCol w:w="4356"/>
      </w:tblGrid>
      <w:tr w:rsidR="000A591E" w:rsidRPr="00682A96" w14:paraId="36E758FC" w14:textId="77777777" w:rsidTr="004E4D64">
        <w:trPr>
          <w:trHeight w:val="81"/>
        </w:trPr>
        <w:tc>
          <w:tcPr>
            <w:tcW w:w="4675" w:type="dxa"/>
          </w:tcPr>
          <w:p w14:paraId="7AACE0BF" w14:textId="77777777" w:rsidR="000A591E" w:rsidRPr="00AC5669" w:rsidRDefault="000A591E" w:rsidP="00FD79E5">
            <w:pPr>
              <w:spacing w:line="276" w:lineRule="auto"/>
              <w:jc w:val="both"/>
              <w:rPr>
                <w:rStyle w:val="Accentuation"/>
                <w:b/>
                <w:bCs/>
                <w:i w:val="0"/>
                <w:iCs w:val="0"/>
              </w:rPr>
            </w:pPr>
            <w:r w:rsidRPr="00AC5669">
              <w:rPr>
                <w:rStyle w:val="Accentuation"/>
                <w:b/>
                <w:bCs/>
                <w:i w:val="0"/>
                <w:iCs w:val="0"/>
              </w:rPr>
              <w:t>Nombre de pièces publiées</w:t>
            </w:r>
          </w:p>
        </w:tc>
        <w:tc>
          <w:tcPr>
            <w:tcW w:w="4356" w:type="dxa"/>
          </w:tcPr>
          <w:p w14:paraId="5536EB22" w14:textId="5495B6EF" w:rsidR="000A591E" w:rsidRPr="00976222" w:rsidRDefault="00254B5F" w:rsidP="00FD79E5">
            <w:pPr>
              <w:spacing w:line="276" w:lineRule="auto"/>
              <w:jc w:val="both"/>
              <w:rPr>
                <w:rStyle w:val="Accentuation"/>
                <w:i w:val="0"/>
                <w:iCs w:val="0"/>
                <w:color w:val="000000" w:themeColor="text1"/>
              </w:rPr>
            </w:pPr>
            <w:r>
              <w:rPr>
                <w:rStyle w:val="Accentuation"/>
                <w:i w:val="0"/>
                <w:iCs w:val="0"/>
                <w:color w:val="000000" w:themeColor="text1"/>
              </w:rPr>
              <w:t>18</w:t>
            </w:r>
          </w:p>
        </w:tc>
      </w:tr>
      <w:tr w:rsidR="000A591E" w:rsidRPr="00682A96" w14:paraId="2E83AEA5" w14:textId="77777777" w:rsidTr="004E4D64">
        <w:trPr>
          <w:trHeight w:val="274"/>
        </w:trPr>
        <w:tc>
          <w:tcPr>
            <w:tcW w:w="4675" w:type="dxa"/>
          </w:tcPr>
          <w:p w14:paraId="644D8905" w14:textId="77777777" w:rsidR="000A591E" w:rsidRPr="00AC5669" w:rsidRDefault="000A591E" w:rsidP="00FD79E5">
            <w:pPr>
              <w:spacing w:line="276" w:lineRule="auto"/>
              <w:jc w:val="both"/>
              <w:rPr>
                <w:rStyle w:val="Accentuation"/>
                <w:i w:val="0"/>
                <w:iCs w:val="0"/>
              </w:rPr>
            </w:pPr>
            <w:r w:rsidRPr="00AC5669">
              <w:rPr>
                <w:rStyle w:val="Accentuation"/>
                <w:i w:val="0"/>
                <w:iCs w:val="0"/>
              </w:rPr>
              <w:t>Télévision</w:t>
            </w:r>
          </w:p>
        </w:tc>
        <w:tc>
          <w:tcPr>
            <w:tcW w:w="4356" w:type="dxa"/>
          </w:tcPr>
          <w:p w14:paraId="0D8E7DFB" w14:textId="1389612B" w:rsidR="000A591E" w:rsidRPr="00AC5669" w:rsidRDefault="00254B5F" w:rsidP="00FD79E5">
            <w:pPr>
              <w:spacing w:line="276" w:lineRule="auto"/>
              <w:jc w:val="both"/>
              <w:rPr>
                <w:rStyle w:val="Accentuation"/>
                <w:i w:val="0"/>
                <w:iCs w:val="0"/>
                <w:color w:val="000000" w:themeColor="text1"/>
              </w:rPr>
            </w:pPr>
            <w:r>
              <w:rPr>
                <w:rStyle w:val="Accentuation"/>
                <w:i w:val="0"/>
                <w:iCs w:val="0"/>
                <w:color w:val="000000" w:themeColor="text1"/>
              </w:rPr>
              <w:t>1</w:t>
            </w:r>
          </w:p>
        </w:tc>
      </w:tr>
      <w:tr w:rsidR="000A591E" w:rsidRPr="00682A96" w14:paraId="3544D618" w14:textId="77777777" w:rsidTr="004E4D64">
        <w:trPr>
          <w:trHeight w:val="274"/>
        </w:trPr>
        <w:tc>
          <w:tcPr>
            <w:tcW w:w="4675" w:type="dxa"/>
          </w:tcPr>
          <w:p w14:paraId="0CCFCD15" w14:textId="77777777" w:rsidR="000A591E" w:rsidRPr="00AC5669" w:rsidRDefault="000A591E" w:rsidP="00FD79E5">
            <w:pPr>
              <w:spacing w:line="276" w:lineRule="auto"/>
              <w:jc w:val="both"/>
              <w:rPr>
                <w:rStyle w:val="Accentuation"/>
                <w:i w:val="0"/>
                <w:iCs w:val="0"/>
              </w:rPr>
            </w:pPr>
            <w:r w:rsidRPr="00AC5669">
              <w:rPr>
                <w:rStyle w:val="Accentuation"/>
                <w:i w:val="0"/>
                <w:iCs w:val="0"/>
              </w:rPr>
              <w:t>Internet</w:t>
            </w:r>
          </w:p>
        </w:tc>
        <w:tc>
          <w:tcPr>
            <w:tcW w:w="4356" w:type="dxa"/>
          </w:tcPr>
          <w:p w14:paraId="1AFB49A4" w14:textId="173522F2" w:rsidR="000A591E" w:rsidRPr="009A0ED5" w:rsidRDefault="00254B5F" w:rsidP="00FD79E5">
            <w:pPr>
              <w:spacing w:line="276" w:lineRule="auto"/>
              <w:jc w:val="both"/>
              <w:rPr>
                <w:rStyle w:val="Accentuation"/>
                <w:i w:val="0"/>
                <w:iCs w:val="0"/>
                <w:color w:val="000000" w:themeColor="text1"/>
              </w:rPr>
            </w:pPr>
            <w:r>
              <w:rPr>
                <w:rStyle w:val="Accentuation"/>
                <w:i w:val="0"/>
                <w:iCs w:val="0"/>
                <w:color w:val="000000" w:themeColor="text1"/>
              </w:rPr>
              <w:t>15</w:t>
            </w:r>
          </w:p>
        </w:tc>
      </w:tr>
      <w:tr w:rsidR="000A591E" w:rsidRPr="00682A96" w14:paraId="316C230C" w14:textId="77777777" w:rsidTr="004E4D64">
        <w:trPr>
          <w:trHeight w:val="274"/>
        </w:trPr>
        <w:tc>
          <w:tcPr>
            <w:tcW w:w="4675" w:type="dxa"/>
          </w:tcPr>
          <w:p w14:paraId="2CD6356E" w14:textId="77777777" w:rsidR="000A591E" w:rsidRPr="00AC5669" w:rsidRDefault="000A591E" w:rsidP="00FD79E5">
            <w:pPr>
              <w:spacing w:line="276" w:lineRule="auto"/>
              <w:jc w:val="both"/>
              <w:rPr>
                <w:rStyle w:val="Accentuation"/>
                <w:i w:val="0"/>
                <w:iCs w:val="0"/>
              </w:rPr>
            </w:pPr>
            <w:r w:rsidRPr="00AC5669">
              <w:rPr>
                <w:rStyle w:val="Accentuation"/>
                <w:i w:val="0"/>
                <w:iCs w:val="0"/>
              </w:rPr>
              <w:t>Presse écrite</w:t>
            </w:r>
          </w:p>
        </w:tc>
        <w:tc>
          <w:tcPr>
            <w:tcW w:w="4356" w:type="dxa"/>
          </w:tcPr>
          <w:p w14:paraId="30CC8737" w14:textId="4CB75646" w:rsidR="000A591E" w:rsidRPr="00AC5669" w:rsidRDefault="00254B5F" w:rsidP="00FD79E5">
            <w:pPr>
              <w:spacing w:line="276" w:lineRule="auto"/>
              <w:jc w:val="both"/>
              <w:rPr>
                <w:rStyle w:val="Accentuation"/>
                <w:i w:val="0"/>
                <w:iCs w:val="0"/>
                <w:color w:val="000000" w:themeColor="text1"/>
              </w:rPr>
            </w:pPr>
            <w:r>
              <w:rPr>
                <w:rStyle w:val="Accentuation"/>
                <w:i w:val="0"/>
                <w:iCs w:val="0"/>
                <w:color w:val="000000" w:themeColor="text1"/>
              </w:rPr>
              <w:t>0</w:t>
            </w:r>
          </w:p>
        </w:tc>
      </w:tr>
      <w:tr w:rsidR="000A591E" w:rsidRPr="00682A96" w14:paraId="5D78EA4F" w14:textId="77777777" w:rsidTr="004E4D64">
        <w:trPr>
          <w:trHeight w:val="274"/>
        </w:trPr>
        <w:tc>
          <w:tcPr>
            <w:tcW w:w="4675" w:type="dxa"/>
          </w:tcPr>
          <w:p w14:paraId="1C894393" w14:textId="77777777" w:rsidR="000A591E" w:rsidRPr="00AC5669" w:rsidRDefault="000A591E" w:rsidP="00FD79E5">
            <w:pPr>
              <w:spacing w:line="276" w:lineRule="auto"/>
              <w:jc w:val="both"/>
              <w:rPr>
                <w:rStyle w:val="Accentuation"/>
                <w:i w:val="0"/>
                <w:iCs w:val="0"/>
              </w:rPr>
            </w:pPr>
            <w:r w:rsidRPr="00AC5669">
              <w:rPr>
                <w:rStyle w:val="Accentuation"/>
                <w:i w:val="0"/>
                <w:iCs w:val="0"/>
              </w:rPr>
              <w:t>Radio</w:t>
            </w:r>
          </w:p>
        </w:tc>
        <w:tc>
          <w:tcPr>
            <w:tcW w:w="4356" w:type="dxa"/>
          </w:tcPr>
          <w:p w14:paraId="58F22B6D" w14:textId="547EEBF0" w:rsidR="000A591E" w:rsidRPr="00AC5669" w:rsidRDefault="00254B5F" w:rsidP="00FD79E5">
            <w:pPr>
              <w:spacing w:line="276" w:lineRule="auto"/>
              <w:jc w:val="both"/>
              <w:rPr>
                <w:rStyle w:val="Accentuation"/>
                <w:i w:val="0"/>
                <w:iCs w:val="0"/>
                <w:color w:val="000000" w:themeColor="text1"/>
              </w:rPr>
            </w:pPr>
            <w:r>
              <w:rPr>
                <w:rStyle w:val="Accentuation"/>
                <w:i w:val="0"/>
                <w:iCs w:val="0"/>
                <w:color w:val="000000" w:themeColor="text1"/>
              </w:rPr>
              <w:t>1</w:t>
            </w:r>
          </w:p>
        </w:tc>
      </w:tr>
    </w:tbl>
    <w:p w14:paraId="02C1C041" w14:textId="77777777" w:rsidR="00EA1ECC" w:rsidRDefault="00EA1ECC" w:rsidP="00FD79E5">
      <w:pPr>
        <w:spacing w:line="276" w:lineRule="auto"/>
        <w:jc w:val="both"/>
        <w:rPr>
          <w:rStyle w:val="Accentuation"/>
          <w:i w:val="0"/>
        </w:rPr>
      </w:pPr>
    </w:p>
    <w:p w14:paraId="764581A7" w14:textId="42556195" w:rsidR="00E7410F" w:rsidRPr="00E7410F" w:rsidRDefault="00254B5F" w:rsidP="00FD79E5">
      <w:pPr>
        <w:spacing w:line="276" w:lineRule="auto"/>
        <w:jc w:val="both"/>
        <w:rPr>
          <w:rStyle w:val="Accentuation"/>
          <w:i w:val="0"/>
        </w:rPr>
      </w:pPr>
      <w:r>
        <w:rPr>
          <w:rStyle w:val="Accentuation"/>
          <w:i w:val="0"/>
        </w:rPr>
        <w:t>Ce mois, 18</w:t>
      </w:r>
      <w:r w:rsidR="009A0ED5">
        <w:rPr>
          <w:rStyle w:val="Accentuation"/>
          <w:i w:val="0"/>
        </w:rPr>
        <w:t xml:space="preserve"> pièces médiatiques ont été publiées dans les médias, por</w:t>
      </w:r>
      <w:r>
        <w:rPr>
          <w:rStyle w:val="Accentuation"/>
          <w:i w:val="0"/>
        </w:rPr>
        <w:t>tant sur les sensibilisations des élèves</w:t>
      </w:r>
      <w:r w:rsidR="00E7410F" w:rsidRPr="00E7410F">
        <w:t xml:space="preserve"> </w:t>
      </w:r>
      <w:r w:rsidR="00E7410F" w:rsidRPr="00E7410F">
        <w:rPr>
          <w:rStyle w:val="Accentuation"/>
          <w:i w:val="0"/>
        </w:rPr>
        <w:t>dans les établissements scolaires concernés par les Brigades faune de Koumameyong et de Ndangui, dans les départements de la Mvoung, de Mulundu et de la</w:t>
      </w:r>
      <w:r w:rsidR="00E7410F">
        <w:rPr>
          <w:rStyle w:val="Accentuation"/>
          <w:i w:val="0"/>
        </w:rPr>
        <w:t xml:space="preserve"> Lopé</w:t>
      </w:r>
      <w:r w:rsidR="00E7410F" w:rsidRPr="00E7410F">
        <w:rPr>
          <w:rStyle w:val="Accentuation"/>
          <w:i w:val="0"/>
        </w:rPr>
        <w:t xml:space="preserve">, </w:t>
      </w:r>
      <w:r w:rsidR="00E7410F">
        <w:rPr>
          <w:rStyle w:val="Accentuation"/>
          <w:i w:val="0"/>
        </w:rPr>
        <w:t>et la sensibilisation d</w:t>
      </w:r>
      <w:r w:rsidR="00E7410F" w:rsidRPr="00E7410F">
        <w:rPr>
          <w:rStyle w:val="Accentuation"/>
          <w:i w:val="0"/>
        </w:rPr>
        <w:t>es communautés locales aux mécanismes d’attribution et d’entretien des clôtures électriques mobiles, conformément au partenariat avec l’ONG Space for Giants (SFG).</w:t>
      </w:r>
    </w:p>
    <w:p w14:paraId="3C6EE310" w14:textId="47FFAFD8" w:rsidR="009A0ED5" w:rsidRPr="00682A96" w:rsidRDefault="009A0ED5" w:rsidP="00FD79E5">
      <w:pPr>
        <w:spacing w:line="276" w:lineRule="auto"/>
        <w:jc w:val="both"/>
        <w:rPr>
          <w:rStyle w:val="Accentuation"/>
          <w:i w:val="0"/>
        </w:rPr>
      </w:pPr>
    </w:p>
    <w:p w14:paraId="0D226714" w14:textId="77777777" w:rsidR="000A591E" w:rsidRPr="00682A96" w:rsidRDefault="00E621AB" w:rsidP="00FD79E5">
      <w:pPr>
        <w:pStyle w:val="Titre1"/>
        <w:shd w:val="clear" w:color="auto" w:fill="000000" w:themeFill="text1"/>
        <w:spacing w:line="276" w:lineRule="auto"/>
        <w:ind w:left="720"/>
        <w:rPr>
          <w:rStyle w:val="Accentuation"/>
          <w:rFonts w:ascii="Times New Roman" w:hAnsi="Times New Roman" w:cs="Times New Roman"/>
          <w:sz w:val="24"/>
          <w:szCs w:val="24"/>
        </w:rPr>
      </w:pPr>
      <w:bookmarkStart w:id="9" w:name="_Toc330025956"/>
      <w:bookmarkStart w:id="10" w:name="_Toc7774931"/>
      <w:bookmarkStart w:id="11" w:name="_Toc118989105"/>
      <w:r w:rsidRPr="00682A96">
        <w:rPr>
          <w:rStyle w:val="Accentuation"/>
          <w:rFonts w:ascii="Times New Roman" w:hAnsi="Times New Roman" w:cs="Times New Roman"/>
          <w:sz w:val="24"/>
          <w:szCs w:val="24"/>
        </w:rPr>
        <w:t xml:space="preserve">8. </w:t>
      </w:r>
      <w:r w:rsidR="000A591E" w:rsidRPr="00682A96">
        <w:rPr>
          <w:rStyle w:val="Accentuation"/>
          <w:rFonts w:ascii="Times New Roman" w:hAnsi="Times New Roman" w:cs="Times New Roman"/>
          <w:sz w:val="24"/>
          <w:szCs w:val="24"/>
        </w:rPr>
        <w:t>Relations extérieures</w:t>
      </w:r>
      <w:bookmarkEnd w:id="9"/>
      <w:bookmarkEnd w:id="10"/>
      <w:bookmarkEnd w:id="11"/>
    </w:p>
    <w:p w14:paraId="7BD9223C" w14:textId="77777777" w:rsidR="000A591E" w:rsidRPr="00682A96" w:rsidRDefault="000A591E" w:rsidP="00FD79E5">
      <w:pPr>
        <w:spacing w:line="276" w:lineRule="auto"/>
        <w:jc w:val="both"/>
        <w:rPr>
          <w:lang w:val="fr-CH" w:bidi="he-IL"/>
        </w:rPr>
      </w:pPr>
    </w:p>
    <w:p w14:paraId="54034BEF" w14:textId="77777777" w:rsidR="0012564C" w:rsidRPr="00682A96" w:rsidRDefault="0012564C" w:rsidP="00FD79E5">
      <w:pPr>
        <w:spacing w:after="240" w:line="276" w:lineRule="auto"/>
        <w:jc w:val="both"/>
        <w:rPr>
          <w:rStyle w:val="Accentuation"/>
          <w:b/>
          <w:i w:val="0"/>
        </w:rPr>
      </w:pPr>
      <w:r w:rsidRPr="00682A96">
        <w:rPr>
          <w:rStyle w:val="Accentuation"/>
          <w:b/>
        </w:rPr>
        <w:t>Indicateur</w:t>
      </w:r>
      <w:r w:rsidR="00F91A81" w:rsidRPr="00682A96">
        <w:rPr>
          <w:rStyle w:val="Accentuation"/>
          <w:b/>
        </w:rPr>
        <w:t>s</w:t>
      </w:r>
      <w:r w:rsidRPr="00682A96">
        <w:rPr>
          <w:rStyle w:val="Accentuation"/>
          <w:b/>
        </w:rPr>
        <w:t>:</w:t>
      </w:r>
    </w:p>
    <w:tbl>
      <w:tblPr>
        <w:tblStyle w:val="Grilledetableauclaire1"/>
        <w:tblW w:w="0" w:type="auto"/>
        <w:tblLook w:val="04A0" w:firstRow="1" w:lastRow="0" w:firstColumn="1" w:lastColumn="0" w:noHBand="0" w:noVBand="1"/>
      </w:tblPr>
      <w:tblGrid>
        <w:gridCol w:w="4350"/>
        <w:gridCol w:w="4380"/>
      </w:tblGrid>
      <w:tr w:rsidR="0012564C" w:rsidRPr="00682A96" w14:paraId="688C56BC" w14:textId="77777777" w:rsidTr="004E4D64">
        <w:trPr>
          <w:trHeight w:val="323"/>
        </w:trPr>
        <w:tc>
          <w:tcPr>
            <w:tcW w:w="4350" w:type="dxa"/>
          </w:tcPr>
          <w:p w14:paraId="1D84FEA5" w14:textId="77777777" w:rsidR="0012564C" w:rsidRPr="001816B6" w:rsidRDefault="0012564C" w:rsidP="00FD79E5">
            <w:pPr>
              <w:spacing w:line="276" w:lineRule="auto"/>
              <w:jc w:val="both"/>
              <w:rPr>
                <w:rStyle w:val="Accentuation"/>
                <w:i w:val="0"/>
              </w:rPr>
            </w:pPr>
            <w:r w:rsidRPr="001816B6">
              <w:rPr>
                <w:rStyle w:val="Accentuation"/>
              </w:rPr>
              <w:t>Nombre de rencontres</w:t>
            </w:r>
          </w:p>
        </w:tc>
        <w:tc>
          <w:tcPr>
            <w:tcW w:w="4380" w:type="dxa"/>
          </w:tcPr>
          <w:p w14:paraId="1229CC39" w14:textId="129FEB6A" w:rsidR="0012564C" w:rsidRPr="00682A96" w:rsidRDefault="00ED7485" w:rsidP="00FD79E5">
            <w:pPr>
              <w:spacing w:line="276" w:lineRule="auto"/>
              <w:jc w:val="both"/>
              <w:rPr>
                <w:rStyle w:val="Accentuation"/>
                <w:i w:val="0"/>
              </w:rPr>
            </w:pPr>
            <w:r>
              <w:rPr>
                <w:rStyle w:val="Accentuation"/>
                <w:i w:val="0"/>
              </w:rPr>
              <w:t>1</w:t>
            </w:r>
            <w:r w:rsidR="001D4FEE">
              <w:rPr>
                <w:rStyle w:val="Accentuation"/>
                <w:i w:val="0"/>
              </w:rPr>
              <w:t>2</w:t>
            </w:r>
          </w:p>
        </w:tc>
      </w:tr>
      <w:tr w:rsidR="0012564C" w:rsidRPr="00682A96" w14:paraId="78664D43" w14:textId="77777777" w:rsidTr="004E4D64">
        <w:trPr>
          <w:trHeight w:val="323"/>
        </w:trPr>
        <w:tc>
          <w:tcPr>
            <w:tcW w:w="4350" w:type="dxa"/>
          </w:tcPr>
          <w:p w14:paraId="6AE854B1" w14:textId="77777777" w:rsidR="0012564C" w:rsidRPr="001816B6" w:rsidRDefault="0012564C" w:rsidP="00FD79E5">
            <w:pPr>
              <w:spacing w:line="276" w:lineRule="auto"/>
              <w:jc w:val="both"/>
              <w:rPr>
                <w:rStyle w:val="Accentuation"/>
                <w:i w:val="0"/>
              </w:rPr>
            </w:pPr>
            <w:r w:rsidRPr="001816B6">
              <w:rPr>
                <w:rStyle w:val="Accentuation"/>
              </w:rPr>
              <w:t>Suivi de l’accord de collaboration</w:t>
            </w:r>
            <w:r w:rsidRPr="001816B6">
              <w:rPr>
                <w:rStyle w:val="Accentuation"/>
              </w:rPr>
              <w:tab/>
            </w:r>
          </w:p>
        </w:tc>
        <w:tc>
          <w:tcPr>
            <w:tcW w:w="4380" w:type="dxa"/>
          </w:tcPr>
          <w:p w14:paraId="6E0607CE" w14:textId="13F6D13F" w:rsidR="0012564C" w:rsidRPr="00682A96" w:rsidRDefault="001D4FEE" w:rsidP="00FD79E5">
            <w:pPr>
              <w:spacing w:line="276" w:lineRule="auto"/>
              <w:jc w:val="both"/>
              <w:rPr>
                <w:rStyle w:val="Accentuation"/>
                <w:i w:val="0"/>
                <w:color w:val="000000" w:themeColor="text1"/>
              </w:rPr>
            </w:pPr>
            <w:r>
              <w:rPr>
                <w:rStyle w:val="Accentuation"/>
                <w:i w:val="0"/>
                <w:color w:val="000000" w:themeColor="text1"/>
              </w:rPr>
              <w:t>3</w:t>
            </w:r>
          </w:p>
        </w:tc>
      </w:tr>
      <w:tr w:rsidR="0012564C" w:rsidRPr="00682A96" w14:paraId="0D1419B3" w14:textId="77777777" w:rsidTr="004E4D64">
        <w:trPr>
          <w:trHeight w:val="297"/>
        </w:trPr>
        <w:tc>
          <w:tcPr>
            <w:tcW w:w="4350" w:type="dxa"/>
            <w:vAlign w:val="center"/>
          </w:tcPr>
          <w:p w14:paraId="07AF050B" w14:textId="77777777" w:rsidR="0012564C" w:rsidRPr="001816B6" w:rsidRDefault="0012564C" w:rsidP="00FD79E5">
            <w:pPr>
              <w:spacing w:line="276" w:lineRule="auto"/>
              <w:jc w:val="both"/>
              <w:rPr>
                <w:rStyle w:val="Accentuation"/>
                <w:i w:val="0"/>
              </w:rPr>
            </w:pPr>
            <w:r w:rsidRPr="001816B6">
              <w:rPr>
                <w:rStyle w:val="Accentuation"/>
              </w:rPr>
              <w:t>Collaboration sur affaires</w:t>
            </w:r>
          </w:p>
        </w:tc>
        <w:tc>
          <w:tcPr>
            <w:tcW w:w="4380" w:type="dxa"/>
            <w:vAlign w:val="center"/>
          </w:tcPr>
          <w:p w14:paraId="60613AA8" w14:textId="0E6FF464" w:rsidR="0012564C" w:rsidRPr="00682A96" w:rsidRDefault="00ED7485" w:rsidP="00FD79E5">
            <w:pPr>
              <w:spacing w:line="276" w:lineRule="auto"/>
              <w:jc w:val="both"/>
              <w:rPr>
                <w:rStyle w:val="Accentuation"/>
                <w:i w:val="0"/>
              </w:rPr>
            </w:pPr>
            <w:r>
              <w:rPr>
                <w:rStyle w:val="Accentuation"/>
                <w:i w:val="0"/>
              </w:rPr>
              <w:t>9</w:t>
            </w:r>
          </w:p>
        </w:tc>
      </w:tr>
    </w:tbl>
    <w:p w14:paraId="5BB1345A" w14:textId="77777777" w:rsidR="003B111E" w:rsidRDefault="003B111E" w:rsidP="00FD79E5">
      <w:pPr>
        <w:spacing w:line="276" w:lineRule="auto"/>
        <w:jc w:val="both"/>
        <w:rPr>
          <w:rStyle w:val="Accentuation"/>
          <w:i w:val="0"/>
        </w:rPr>
      </w:pPr>
    </w:p>
    <w:p w14:paraId="0DBA1CA2" w14:textId="3F30CAE7" w:rsidR="003B111E" w:rsidRDefault="000662E9" w:rsidP="00FD79E5">
      <w:pPr>
        <w:spacing w:line="276" w:lineRule="auto"/>
        <w:jc w:val="both"/>
        <w:rPr>
          <w:rStyle w:val="Accentuation"/>
          <w:i w:val="0"/>
        </w:rPr>
      </w:pPr>
      <w:r>
        <w:rPr>
          <w:rStyle w:val="Accentuation"/>
          <w:i w:val="0"/>
        </w:rPr>
        <w:t>Onze r</w:t>
      </w:r>
      <w:r w:rsidR="00057C8E">
        <w:rPr>
          <w:rStyle w:val="Accentuation"/>
          <w:i w:val="0"/>
        </w:rPr>
        <w:t>encontres</w:t>
      </w:r>
      <w:r w:rsidR="00FC3F61">
        <w:rPr>
          <w:rStyle w:val="Accentuation"/>
          <w:i w:val="0"/>
        </w:rPr>
        <w:t xml:space="preserve"> ont eu lieu</w:t>
      </w:r>
      <w:r w:rsidR="00057C8E">
        <w:rPr>
          <w:rStyle w:val="Accentuation"/>
          <w:i w:val="0"/>
        </w:rPr>
        <w:t xml:space="preserve"> ce</w:t>
      </w:r>
      <w:r w:rsidR="00E14F3A">
        <w:rPr>
          <w:rStyle w:val="Accentuation"/>
          <w:i w:val="0"/>
        </w:rPr>
        <w:t xml:space="preserve"> mois </w:t>
      </w:r>
      <w:r w:rsidR="00ED7485">
        <w:rPr>
          <w:rStyle w:val="Accentuation"/>
          <w:i w:val="0"/>
        </w:rPr>
        <w:t>de Déc</w:t>
      </w:r>
      <w:r w:rsidR="00C52819">
        <w:rPr>
          <w:rStyle w:val="Accentuation"/>
          <w:i w:val="0"/>
        </w:rPr>
        <w:t>em</w:t>
      </w:r>
      <w:r w:rsidR="00844223">
        <w:rPr>
          <w:rStyle w:val="Accentuation"/>
          <w:i w:val="0"/>
        </w:rPr>
        <w:t>bre avec</w:t>
      </w:r>
      <w:r w:rsidR="003B111E">
        <w:rPr>
          <w:rStyle w:val="Accentuation"/>
          <w:i w:val="0"/>
        </w:rPr>
        <w:t xml:space="preserve"> </w:t>
      </w:r>
      <w:r w:rsidR="00FC3F61">
        <w:rPr>
          <w:rStyle w:val="Accentuation"/>
          <w:i w:val="0"/>
        </w:rPr>
        <w:t xml:space="preserve">les </w:t>
      </w:r>
      <w:r w:rsidR="008D319F">
        <w:rPr>
          <w:rStyle w:val="Accentuation"/>
          <w:i w:val="0"/>
        </w:rPr>
        <w:t xml:space="preserve">différentes autorités </w:t>
      </w:r>
      <w:r w:rsidR="00844223">
        <w:rPr>
          <w:rStyle w:val="Accentuation"/>
          <w:i w:val="0"/>
        </w:rPr>
        <w:t>et partenaires</w:t>
      </w:r>
      <w:r w:rsidR="003B111E">
        <w:rPr>
          <w:rStyle w:val="Accentuation"/>
          <w:i w:val="0"/>
        </w:rPr>
        <w:t xml:space="preserve"> du projet</w:t>
      </w:r>
      <w:r w:rsidR="0000451D">
        <w:rPr>
          <w:rStyle w:val="Accentuation"/>
          <w:i w:val="0"/>
        </w:rPr>
        <w:t>.</w:t>
      </w:r>
    </w:p>
    <w:p w14:paraId="6FABE524" w14:textId="77777777" w:rsidR="003B111E" w:rsidRDefault="003B111E" w:rsidP="00FD79E5">
      <w:pPr>
        <w:spacing w:line="276" w:lineRule="auto"/>
        <w:jc w:val="both"/>
        <w:rPr>
          <w:rStyle w:val="Accentuation"/>
          <w:i w:val="0"/>
        </w:rPr>
      </w:pPr>
    </w:p>
    <w:p w14:paraId="0BA3F31A" w14:textId="429E53EB" w:rsidR="00ED7485" w:rsidRDefault="005B0E16" w:rsidP="00FD79E5">
      <w:pPr>
        <w:spacing w:line="276" w:lineRule="auto"/>
        <w:jc w:val="both"/>
        <w:rPr>
          <w:rStyle w:val="Accentuation"/>
          <w:i w:val="0"/>
        </w:rPr>
      </w:pPr>
      <w:r w:rsidRPr="00CC1A5E">
        <w:rPr>
          <w:rStyle w:val="Accentuation"/>
          <w:b/>
          <w:i w:val="0"/>
        </w:rPr>
        <w:t>Dans la province de la Ngounié</w:t>
      </w:r>
      <w:r w:rsidR="000662E9">
        <w:rPr>
          <w:rStyle w:val="Accentuation"/>
          <w:i w:val="0"/>
        </w:rPr>
        <w:t> (5):</w:t>
      </w:r>
      <w:r w:rsidR="00661C7F">
        <w:rPr>
          <w:rStyle w:val="Accentuation"/>
          <w:i w:val="0"/>
        </w:rPr>
        <w:t xml:space="preserve"> </w:t>
      </w:r>
      <w:r w:rsidR="00ED7485">
        <w:rPr>
          <w:rStyle w:val="Accentuation"/>
          <w:i w:val="0"/>
        </w:rPr>
        <w:t>le coordonnateur technique de la zone sud</w:t>
      </w:r>
      <w:r w:rsidR="000662E9">
        <w:rPr>
          <w:rStyle w:val="Accentuation"/>
          <w:i w:val="0"/>
        </w:rPr>
        <w:t xml:space="preserve"> et deux juristes</w:t>
      </w:r>
      <w:r w:rsidR="00ED7485">
        <w:rPr>
          <w:rStyle w:val="Accentuation"/>
          <w:i w:val="0"/>
        </w:rPr>
        <w:t xml:space="preserve"> ont rencontré le procureur adjoint au tribunal de Mouila, le commandant de la DGR, le chef d’antenne B2, le commandant de Brigade de Fougamou et le chef de cantonnement des Eaux et Forêts de Fougamou. </w:t>
      </w:r>
    </w:p>
    <w:p w14:paraId="7A2D0B53" w14:textId="536A163A" w:rsidR="004E3D18" w:rsidRDefault="00ED7485" w:rsidP="00FD79E5">
      <w:pPr>
        <w:spacing w:line="276" w:lineRule="auto"/>
        <w:jc w:val="both"/>
        <w:rPr>
          <w:rStyle w:val="Accentuation"/>
          <w:i w:val="0"/>
        </w:rPr>
      </w:pPr>
      <w:r>
        <w:rPr>
          <w:rStyle w:val="Accentuation"/>
          <w:b/>
          <w:i w:val="0"/>
        </w:rPr>
        <w:lastRenderedPageBreak/>
        <w:t>Dans la province de l’Ogooué-Ivindo</w:t>
      </w:r>
      <w:r>
        <w:rPr>
          <w:rStyle w:val="Accentuation"/>
          <w:i w:val="0"/>
        </w:rPr>
        <w:t xml:space="preserve"> </w:t>
      </w:r>
      <w:r w:rsidR="000662E9">
        <w:rPr>
          <w:rStyle w:val="Accentuation"/>
          <w:i w:val="0"/>
        </w:rPr>
        <w:t>(</w:t>
      </w:r>
      <w:r>
        <w:rPr>
          <w:rStyle w:val="Accentuation"/>
          <w:i w:val="0"/>
        </w:rPr>
        <w:t>6</w:t>
      </w:r>
      <w:r w:rsidR="000662E9">
        <w:rPr>
          <w:rStyle w:val="Accentuation"/>
          <w:i w:val="0"/>
        </w:rPr>
        <w:t>) ; le chargé social</w:t>
      </w:r>
      <w:r w:rsidR="001D4FEE">
        <w:rPr>
          <w:rStyle w:val="Accentuation"/>
          <w:i w:val="0"/>
        </w:rPr>
        <w:t>, accompagné de deux juriste et d’un enquêteur/chauffeur,</w:t>
      </w:r>
      <w:r w:rsidR="000662E9">
        <w:rPr>
          <w:rStyle w:val="Accentuation"/>
          <w:i w:val="0"/>
        </w:rPr>
        <w:t xml:space="preserve"> a rencontré le</w:t>
      </w:r>
      <w:r>
        <w:rPr>
          <w:rStyle w:val="Accentuation"/>
          <w:i w:val="0"/>
        </w:rPr>
        <w:t xml:space="preserve"> Procureur de la République au tribunal de Makokou, </w:t>
      </w:r>
      <w:r w:rsidR="00F22D1E">
        <w:rPr>
          <w:rStyle w:val="Accentuation"/>
          <w:i w:val="0"/>
        </w:rPr>
        <w:t>du Directeur provincial des Eaux et Forêts, du Doyen des juges, du préfet de Booué, du chef d’antenne PJ à Makokou et du chef d’antenne DGR à Makokou.</w:t>
      </w:r>
    </w:p>
    <w:p w14:paraId="0F685CD9" w14:textId="6B446E3F" w:rsidR="005D0E65" w:rsidRDefault="008E1615" w:rsidP="00FD79E5">
      <w:pPr>
        <w:spacing w:line="276" w:lineRule="auto"/>
        <w:jc w:val="both"/>
        <w:rPr>
          <w:rStyle w:val="Accentuation"/>
          <w:i w:val="0"/>
        </w:rPr>
      </w:pPr>
      <w:r w:rsidRPr="008E1615">
        <w:rPr>
          <w:rStyle w:val="Accentuation"/>
          <w:b/>
          <w:bCs/>
          <w:i w:val="0"/>
        </w:rPr>
        <w:t>Dans la province du Moyen-Ogooué</w:t>
      </w:r>
      <w:r w:rsidR="001D4FEE">
        <w:rPr>
          <w:rStyle w:val="Accentuation"/>
          <w:b/>
          <w:bCs/>
          <w:i w:val="0"/>
        </w:rPr>
        <w:t xml:space="preserve"> </w:t>
      </w:r>
      <w:r w:rsidR="001D4FEE" w:rsidRPr="001D4FEE">
        <w:rPr>
          <w:rStyle w:val="Accentuation"/>
          <w:i w:val="0"/>
        </w:rPr>
        <w:t>(1)</w:t>
      </w:r>
      <w:r w:rsidR="000662E9">
        <w:rPr>
          <w:rStyle w:val="Accentuation"/>
          <w:b/>
          <w:bCs/>
          <w:i w:val="0"/>
        </w:rPr>
        <w:t xml:space="preserve"> : </w:t>
      </w:r>
      <w:r w:rsidR="000662E9" w:rsidRPr="000662E9">
        <w:rPr>
          <w:rFonts w:eastAsiaTheme="minorHAnsi"/>
          <w:bCs/>
          <w:kern w:val="2"/>
        </w:rPr>
        <w:t>A</w:t>
      </w:r>
      <w:r w:rsidR="000662E9">
        <w:rPr>
          <w:rFonts w:eastAsiaTheme="minorHAnsi"/>
          <w:b/>
          <w:kern w:val="2"/>
        </w:rPr>
        <w:t xml:space="preserve"> </w:t>
      </w:r>
      <w:r w:rsidR="000662E9">
        <w:rPr>
          <w:lang w:val="fr-GA"/>
        </w:rPr>
        <w:t>l’occasion d</w:t>
      </w:r>
      <w:r w:rsidR="001D4FEE">
        <w:rPr>
          <w:lang w:val="fr-GA"/>
        </w:rPr>
        <w:t>e leur</w:t>
      </w:r>
      <w:r w:rsidR="000662E9">
        <w:rPr>
          <w:lang w:val="fr-GA"/>
        </w:rPr>
        <w:t xml:space="preserve"> déplacement vers la Ngounié, deux</w:t>
      </w:r>
      <w:r w:rsidR="000662E9" w:rsidRPr="008E1615">
        <w:rPr>
          <w:lang w:val="fr-GA"/>
        </w:rPr>
        <w:t xml:space="preserve"> juriste</w:t>
      </w:r>
      <w:r w:rsidR="000662E9">
        <w:rPr>
          <w:lang w:val="fr-GA"/>
        </w:rPr>
        <w:t>s</w:t>
      </w:r>
      <w:r w:rsidR="000662E9" w:rsidRPr="008E1615">
        <w:rPr>
          <w:lang w:val="fr-GA"/>
        </w:rPr>
        <w:t xml:space="preserve"> ont </w:t>
      </w:r>
      <w:r w:rsidR="000662E9">
        <w:rPr>
          <w:lang w:val="fr-GA"/>
        </w:rPr>
        <w:t>tenu u</w:t>
      </w:r>
      <w:r w:rsidR="000662E9" w:rsidRPr="008E1615">
        <w:rPr>
          <w:lang w:val="fr-GA"/>
        </w:rPr>
        <w:t xml:space="preserve">ne réunion à la DGR </w:t>
      </w:r>
      <w:r w:rsidR="000662E9">
        <w:rPr>
          <w:lang w:val="fr-GA"/>
        </w:rPr>
        <w:t xml:space="preserve">de Lambaréné </w:t>
      </w:r>
      <w:r w:rsidR="000662E9" w:rsidRPr="008E1615">
        <w:rPr>
          <w:lang w:val="fr-GA"/>
        </w:rPr>
        <w:t>avec un Adjudant-chef Major</w:t>
      </w:r>
      <w:r w:rsidR="001D4FEE">
        <w:rPr>
          <w:lang w:val="fr-GA"/>
        </w:rPr>
        <w:t xml:space="preserve">. </w:t>
      </w:r>
    </w:p>
    <w:p w14:paraId="418E360E" w14:textId="65495A3F" w:rsidR="00634BDF" w:rsidRPr="003E3619" w:rsidRDefault="00634BDF" w:rsidP="00FD79E5">
      <w:pPr>
        <w:spacing w:line="276" w:lineRule="auto"/>
        <w:jc w:val="both"/>
        <w:rPr>
          <w:rStyle w:val="Accentuation"/>
          <w:i w:val="0"/>
        </w:rPr>
      </w:pPr>
    </w:p>
    <w:p w14:paraId="5E319F6C" w14:textId="77777777" w:rsidR="000A591E" w:rsidRPr="00682A96" w:rsidRDefault="00E621AB" w:rsidP="00FD79E5">
      <w:pPr>
        <w:pStyle w:val="Titre1"/>
        <w:spacing w:line="276" w:lineRule="auto"/>
        <w:ind w:left="360"/>
        <w:rPr>
          <w:rStyle w:val="Accentuation"/>
          <w:rFonts w:ascii="Times New Roman" w:hAnsi="Times New Roman" w:cs="Times New Roman"/>
          <w:sz w:val="24"/>
          <w:szCs w:val="24"/>
        </w:rPr>
      </w:pPr>
      <w:bookmarkStart w:id="12" w:name="_Toc7774932"/>
      <w:bookmarkStart w:id="13" w:name="_Toc118989106"/>
      <w:r w:rsidRPr="00682A96">
        <w:rPr>
          <w:rStyle w:val="Accentuation"/>
          <w:rFonts w:ascii="Times New Roman" w:hAnsi="Times New Roman" w:cs="Times New Roman"/>
          <w:sz w:val="24"/>
          <w:szCs w:val="24"/>
        </w:rPr>
        <w:t xml:space="preserve">9. </w:t>
      </w:r>
      <w:r w:rsidR="000A591E" w:rsidRPr="00682A96">
        <w:rPr>
          <w:rStyle w:val="Accentuation"/>
          <w:rFonts w:ascii="Times New Roman" w:hAnsi="Times New Roman" w:cs="Times New Roman"/>
          <w:sz w:val="24"/>
          <w:szCs w:val="24"/>
        </w:rPr>
        <w:t>Conclusion</w:t>
      </w:r>
      <w:bookmarkEnd w:id="12"/>
      <w:bookmarkEnd w:id="13"/>
    </w:p>
    <w:p w14:paraId="78FEB73E" w14:textId="77777777" w:rsidR="00077A14" w:rsidRDefault="00077A14" w:rsidP="00FD79E5">
      <w:pPr>
        <w:spacing w:line="276" w:lineRule="auto"/>
        <w:jc w:val="both"/>
      </w:pPr>
    </w:p>
    <w:p w14:paraId="17CB1CCC" w14:textId="531E0994" w:rsidR="00543EAE" w:rsidRDefault="00F3022A" w:rsidP="00FD79E5">
      <w:pPr>
        <w:spacing w:line="276" w:lineRule="auto"/>
        <w:jc w:val="both"/>
      </w:pPr>
      <w:r>
        <w:t>Ce mois de décembre, deux missions sociales ont eu lieu, permettant de faire le suivi des cahiers des charges contractuelles dans une dizaine de village, ainsi qu’à appuyer les communautés villageoises dans la gestion des forêts communautaires.</w:t>
      </w:r>
    </w:p>
    <w:p w14:paraId="1EACEEDB" w14:textId="25C59323" w:rsidR="00B13206" w:rsidRDefault="00B13206" w:rsidP="00FD79E5">
      <w:pPr>
        <w:spacing w:line="276" w:lineRule="auto"/>
        <w:jc w:val="both"/>
      </w:pPr>
      <w:r>
        <w:t>Des soupçons de mauvaise gestion de</w:t>
      </w:r>
      <w:r w:rsidR="008D4388">
        <w:t xml:space="preserve"> la</w:t>
      </w:r>
      <w:r>
        <w:t xml:space="preserve"> forêt communautaire dans le village d’Akoba a d’ailleurs conduit à </w:t>
      </w:r>
      <w:r w:rsidR="008D4388">
        <w:t>une</w:t>
      </w:r>
      <w:r>
        <w:t xml:space="preserve"> </w:t>
      </w:r>
      <w:r w:rsidR="00F3022A">
        <w:t>investigation</w:t>
      </w:r>
      <w:r>
        <w:t>.</w:t>
      </w:r>
    </w:p>
    <w:p w14:paraId="4141B086" w14:textId="77777777" w:rsidR="00B13206" w:rsidRDefault="00B13206" w:rsidP="00FD79E5">
      <w:pPr>
        <w:spacing w:line="276" w:lineRule="auto"/>
        <w:jc w:val="both"/>
      </w:pPr>
    </w:p>
    <w:p w14:paraId="7A437FCD" w14:textId="52256DB7" w:rsidR="00B13206" w:rsidRPr="00682A96" w:rsidRDefault="00B13206" w:rsidP="00FD79E5">
      <w:pPr>
        <w:spacing w:line="276" w:lineRule="auto"/>
        <w:jc w:val="both"/>
      </w:pPr>
      <w:r>
        <w:t>Dans l’Ogooué-Ivindo, l’équipe a noté la clôture de 3 CCC après une bonne mise en œuvre. Cependant, ce n’est pas le cas dans d’autres villages, à la déception des communautés concernées.</w:t>
      </w:r>
    </w:p>
    <w:sectPr w:rsidR="00B13206" w:rsidRPr="00682A96" w:rsidSect="00BD4876">
      <w:headerReference w:type="default" r:id="rId12"/>
      <w:footerReference w:type="default" r:id="rId13"/>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86C82" w14:textId="77777777" w:rsidR="00D76B1C" w:rsidRDefault="00D76B1C" w:rsidP="00CC204D">
      <w:r>
        <w:separator/>
      </w:r>
    </w:p>
  </w:endnote>
  <w:endnote w:type="continuationSeparator" w:id="0">
    <w:p w14:paraId="5CAC6B3C" w14:textId="77777777" w:rsidR="00D76B1C" w:rsidRDefault="00D76B1C"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B584" w14:textId="77777777" w:rsidR="008C712A" w:rsidRDefault="008C712A">
    <w:pPr>
      <w:shd w:val="clear" w:color="auto" w:fill="FFFFFF"/>
      <w:spacing w:before="120"/>
      <w:jc w:val="center"/>
      <w:rPr>
        <w:sz w:val="16"/>
        <w:szCs w:val="20"/>
        <w:lang w:val="fr-FR"/>
      </w:rPr>
    </w:pPr>
    <w:r>
      <w:rPr>
        <w:sz w:val="16"/>
        <w:szCs w:val="20"/>
        <w:lang w:val="fr-FR"/>
      </w:rPr>
      <w:t>Conservation Justice | BP 23903 Libreville | +241 074 23 38 65</w:t>
    </w:r>
  </w:p>
  <w:p w14:paraId="0E4E6DE3" w14:textId="77777777" w:rsidR="008C712A" w:rsidRDefault="008C712A">
    <w:pPr>
      <w:shd w:val="clear" w:color="auto" w:fill="FFFFFF"/>
      <w:spacing w:after="240"/>
      <w:jc w:val="center"/>
      <w:rPr>
        <w:sz w:val="16"/>
        <w:szCs w:val="20"/>
        <w:lang w:val="fr-FR"/>
      </w:rPr>
    </w:pPr>
    <w:r>
      <w:rPr>
        <w:sz w:val="16"/>
        <w:szCs w:val="20"/>
        <w:lang w:val="fr-FR"/>
      </w:rPr>
      <w:t>luc@conservation-justice.org | www.conservation-justice.org</w:t>
    </w:r>
  </w:p>
  <w:p w14:paraId="71DA4446" w14:textId="53F8DF2F" w:rsidR="008C712A" w:rsidRDefault="008C712A"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E7410F">
      <w:rPr>
        <w:b/>
        <w:bCs/>
        <w:noProof/>
      </w:rPr>
      <w:t>5</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E7410F">
      <w:rPr>
        <w:b/>
        <w:bCs/>
        <w:noProof/>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34098" w14:textId="77777777" w:rsidR="00D76B1C" w:rsidRDefault="00D76B1C" w:rsidP="00CC204D">
      <w:r>
        <w:separator/>
      </w:r>
    </w:p>
  </w:footnote>
  <w:footnote w:type="continuationSeparator" w:id="0">
    <w:p w14:paraId="760418D6" w14:textId="77777777" w:rsidR="00D76B1C" w:rsidRDefault="00D76B1C"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8D475" w14:textId="77777777" w:rsidR="008C712A" w:rsidRDefault="008C712A">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F13CE"/>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622F"/>
    <w:multiLevelType w:val="hybridMultilevel"/>
    <w:tmpl w:val="A9C0A3F6"/>
    <w:lvl w:ilvl="0" w:tplc="C6E271B4">
      <w:start w:val="1"/>
      <w:numFmt w:val="decimal"/>
      <w:lvlText w:val="%1)"/>
      <w:lvlJc w:val="left"/>
      <w:pPr>
        <w:ind w:left="720" w:hanging="360"/>
      </w:pPr>
      <w:rPr>
        <w:rFonts w:ascii="Calibri" w:hAnsi="Calibr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1D4660"/>
    <w:multiLevelType w:val="hybridMultilevel"/>
    <w:tmpl w:val="CF904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47424"/>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A506E"/>
    <w:multiLevelType w:val="hybridMultilevel"/>
    <w:tmpl w:val="E0908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306FF"/>
    <w:multiLevelType w:val="multilevel"/>
    <w:tmpl w:val="0CF46D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4C46971"/>
    <w:multiLevelType w:val="hybridMultilevel"/>
    <w:tmpl w:val="A3A22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BD2012"/>
    <w:multiLevelType w:val="multilevel"/>
    <w:tmpl w:val="2672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34D06"/>
    <w:multiLevelType w:val="hybridMultilevel"/>
    <w:tmpl w:val="550C0040"/>
    <w:lvl w:ilvl="0" w:tplc="C38A25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275B49"/>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6F4688"/>
    <w:multiLevelType w:val="hybridMultilevel"/>
    <w:tmpl w:val="8A06A85E"/>
    <w:lvl w:ilvl="0" w:tplc="68E468B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255FE4"/>
    <w:multiLevelType w:val="hybridMultilevel"/>
    <w:tmpl w:val="E06AD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A52C9A"/>
    <w:multiLevelType w:val="hybridMultilevel"/>
    <w:tmpl w:val="89A61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AEF577A"/>
    <w:multiLevelType w:val="hybridMultilevel"/>
    <w:tmpl w:val="26C0E4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9D7C60"/>
    <w:multiLevelType w:val="hybridMultilevel"/>
    <w:tmpl w:val="9B0A6B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D67DB9"/>
    <w:multiLevelType w:val="multilevel"/>
    <w:tmpl w:val="FF1C7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64039C"/>
    <w:multiLevelType w:val="multilevel"/>
    <w:tmpl w:val="4A2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E641F"/>
    <w:multiLevelType w:val="hybridMultilevel"/>
    <w:tmpl w:val="09AA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FE03E1"/>
    <w:multiLevelType w:val="hybridMultilevel"/>
    <w:tmpl w:val="2292A4D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20" w15:restartNumberingAfterBreak="0">
    <w:nsid w:val="34AB5333"/>
    <w:multiLevelType w:val="hybridMultilevel"/>
    <w:tmpl w:val="49885F7C"/>
    <w:lvl w:ilvl="0" w:tplc="7A6A9040">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2" w15:restartNumberingAfterBreak="0">
    <w:nsid w:val="3C4569B6"/>
    <w:multiLevelType w:val="hybridMultilevel"/>
    <w:tmpl w:val="1876C896"/>
    <w:lvl w:ilvl="0" w:tplc="85FEF31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782272"/>
    <w:multiLevelType w:val="hybridMultilevel"/>
    <w:tmpl w:val="3886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4E4F2E"/>
    <w:multiLevelType w:val="hybridMultilevel"/>
    <w:tmpl w:val="A3EABFF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CA167F"/>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D8868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5DD75449"/>
    <w:multiLevelType w:val="hybridMultilevel"/>
    <w:tmpl w:val="9156F3C6"/>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30" w15:restartNumberingAfterBreak="0">
    <w:nsid w:val="5EA940D5"/>
    <w:multiLevelType w:val="hybridMultilevel"/>
    <w:tmpl w:val="97D41B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EA07C6"/>
    <w:multiLevelType w:val="hybridMultilevel"/>
    <w:tmpl w:val="74BCB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9E0440"/>
    <w:multiLevelType w:val="multilevel"/>
    <w:tmpl w:val="93161842"/>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F1099F"/>
    <w:multiLevelType w:val="hybridMultilevel"/>
    <w:tmpl w:val="B2D66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65218BE"/>
    <w:multiLevelType w:val="multilevel"/>
    <w:tmpl w:val="BDE0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6341DC"/>
    <w:multiLevelType w:val="hybridMultilevel"/>
    <w:tmpl w:val="FC143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7FE4B9F"/>
    <w:multiLevelType w:val="multilevel"/>
    <w:tmpl w:val="056C541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EA4681A"/>
    <w:multiLevelType w:val="hybridMultilevel"/>
    <w:tmpl w:val="1AEAF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1845AF"/>
    <w:multiLevelType w:val="hybridMultilevel"/>
    <w:tmpl w:val="1E2A8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5337EE7"/>
    <w:multiLevelType w:val="multilevel"/>
    <w:tmpl w:val="5A5280E0"/>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84469B"/>
    <w:multiLevelType w:val="hybridMultilevel"/>
    <w:tmpl w:val="CBE24A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33792129">
    <w:abstractNumId w:val="21"/>
  </w:num>
  <w:num w:numId="2" w16cid:durableId="1084693361">
    <w:abstractNumId w:val="24"/>
  </w:num>
  <w:num w:numId="3" w16cid:durableId="979849048">
    <w:abstractNumId w:val="23"/>
  </w:num>
  <w:num w:numId="4" w16cid:durableId="366683067">
    <w:abstractNumId w:val="36"/>
  </w:num>
  <w:num w:numId="5" w16cid:durableId="892427964">
    <w:abstractNumId w:val="29"/>
  </w:num>
  <w:num w:numId="6" w16cid:durableId="138499732">
    <w:abstractNumId w:val="20"/>
  </w:num>
  <w:num w:numId="7" w16cid:durableId="687414846">
    <w:abstractNumId w:val="27"/>
  </w:num>
  <w:num w:numId="8" w16cid:durableId="721057634">
    <w:abstractNumId w:val="4"/>
  </w:num>
  <w:num w:numId="9" w16cid:durableId="1806464262">
    <w:abstractNumId w:val="0"/>
  </w:num>
  <w:num w:numId="10" w16cid:durableId="1825049863">
    <w:abstractNumId w:val="5"/>
  </w:num>
  <w:num w:numId="11" w16cid:durableId="2013532815">
    <w:abstractNumId w:val="6"/>
  </w:num>
  <w:num w:numId="12" w16cid:durableId="417144323">
    <w:abstractNumId w:val="22"/>
  </w:num>
  <w:num w:numId="13" w16cid:durableId="1805855893">
    <w:abstractNumId w:val="31"/>
  </w:num>
  <w:num w:numId="14" w16cid:durableId="1406998426">
    <w:abstractNumId w:val="3"/>
  </w:num>
  <w:num w:numId="15" w16cid:durableId="297927532">
    <w:abstractNumId w:val="15"/>
  </w:num>
  <w:num w:numId="16" w16cid:durableId="23362784">
    <w:abstractNumId w:val="19"/>
  </w:num>
  <w:num w:numId="17" w16cid:durableId="334765762">
    <w:abstractNumId w:val="7"/>
  </w:num>
  <w:num w:numId="18" w16cid:durableId="1511215450">
    <w:abstractNumId w:val="2"/>
  </w:num>
  <w:num w:numId="19" w16cid:durableId="1142189574">
    <w:abstractNumId w:val="12"/>
  </w:num>
  <w:num w:numId="20" w16cid:durableId="874468062">
    <w:abstractNumId w:val="25"/>
  </w:num>
  <w:num w:numId="21" w16cid:durableId="638650284">
    <w:abstractNumId w:val="30"/>
  </w:num>
  <w:num w:numId="22" w16cid:durableId="1094205544">
    <w:abstractNumId w:val="33"/>
  </w:num>
  <w:num w:numId="23" w16cid:durableId="2083333541">
    <w:abstractNumId w:val="37"/>
  </w:num>
  <w:num w:numId="24" w16cid:durableId="1367022032">
    <w:abstractNumId w:val="1"/>
  </w:num>
  <w:num w:numId="25" w16cid:durableId="1644115498">
    <w:abstractNumId w:val="28"/>
  </w:num>
  <w:num w:numId="26" w16cid:durableId="317266020">
    <w:abstractNumId w:val="11"/>
  </w:num>
  <w:num w:numId="27" w16cid:durableId="2109307284">
    <w:abstractNumId w:val="10"/>
  </w:num>
  <w:num w:numId="28" w16cid:durableId="1923295231">
    <w:abstractNumId w:val="16"/>
  </w:num>
  <w:num w:numId="29" w16cid:durableId="805853308">
    <w:abstractNumId w:val="14"/>
  </w:num>
  <w:num w:numId="30" w16cid:durableId="158155610">
    <w:abstractNumId w:val="13"/>
  </w:num>
  <w:num w:numId="31" w16cid:durableId="305283056">
    <w:abstractNumId w:val="39"/>
  </w:num>
  <w:num w:numId="32" w16cid:durableId="672996243">
    <w:abstractNumId w:val="32"/>
  </w:num>
  <w:num w:numId="33" w16cid:durableId="1939023289">
    <w:abstractNumId w:val="26"/>
  </w:num>
  <w:num w:numId="34" w16cid:durableId="835220782">
    <w:abstractNumId w:val="9"/>
  </w:num>
  <w:num w:numId="35" w16cid:durableId="2022311899">
    <w:abstractNumId w:val="8"/>
  </w:num>
  <w:num w:numId="36" w16cid:durableId="547834861">
    <w:abstractNumId w:val="40"/>
  </w:num>
  <w:num w:numId="37" w16cid:durableId="185486348">
    <w:abstractNumId w:val="35"/>
  </w:num>
  <w:num w:numId="38" w16cid:durableId="550776139">
    <w:abstractNumId w:val="18"/>
  </w:num>
  <w:num w:numId="39" w16cid:durableId="458573514">
    <w:abstractNumId w:val="38"/>
  </w:num>
  <w:num w:numId="40" w16cid:durableId="160395690">
    <w:abstractNumId w:val="17"/>
  </w:num>
  <w:num w:numId="41" w16cid:durableId="859051357">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2C42"/>
    <w:rsid w:val="00002F24"/>
    <w:rsid w:val="00003847"/>
    <w:rsid w:val="000041E2"/>
    <w:rsid w:val="0000449A"/>
    <w:rsid w:val="0000451D"/>
    <w:rsid w:val="00004ECF"/>
    <w:rsid w:val="00006F64"/>
    <w:rsid w:val="000074B0"/>
    <w:rsid w:val="00007655"/>
    <w:rsid w:val="0001056B"/>
    <w:rsid w:val="00010B3B"/>
    <w:rsid w:val="00011E59"/>
    <w:rsid w:val="00012515"/>
    <w:rsid w:val="000167EF"/>
    <w:rsid w:val="000254CF"/>
    <w:rsid w:val="00027A44"/>
    <w:rsid w:val="00027B55"/>
    <w:rsid w:val="00030F82"/>
    <w:rsid w:val="000312AE"/>
    <w:rsid w:val="00031F08"/>
    <w:rsid w:val="00032DF6"/>
    <w:rsid w:val="00032EC3"/>
    <w:rsid w:val="000337DB"/>
    <w:rsid w:val="000344BC"/>
    <w:rsid w:val="0003548B"/>
    <w:rsid w:val="00035493"/>
    <w:rsid w:val="00035928"/>
    <w:rsid w:val="0003653E"/>
    <w:rsid w:val="00036660"/>
    <w:rsid w:val="0003666B"/>
    <w:rsid w:val="00037CAE"/>
    <w:rsid w:val="0004009C"/>
    <w:rsid w:val="00042AF5"/>
    <w:rsid w:val="00043D4D"/>
    <w:rsid w:val="000449C3"/>
    <w:rsid w:val="000453DD"/>
    <w:rsid w:val="000460B6"/>
    <w:rsid w:val="00047A63"/>
    <w:rsid w:val="00050EB9"/>
    <w:rsid w:val="00052AC0"/>
    <w:rsid w:val="0005384D"/>
    <w:rsid w:val="0005465C"/>
    <w:rsid w:val="00055636"/>
    <w:rsid w:val="0005789E"/>
    <w:rsid w:val="00057C8E"/>
    <w:rsid w:val="000608B6"/>
    <w:rsid w:val="000624E8"/>
    <w:rsid w:val="00062961"/>
    <w:rsid w:val="000640EC"/>
    <w:rsid w:val="000642E2"/>
    <w:rsid w:val="000662E9"/>
    <w:rsid w:val="00066CC4"/>
    <w:rsid w:val="000706A6"/>
    <w:rsid w:val="000706DB"/>
    <w:rsid w:val="000711CE"/>
    <w:rsid w:val="00071534"/>
    <w:rsid w:val="00072738"/>
    <w:rsid w:val="000736DA"/>
    <w:rsid w:val="00073DF9"/>
    <w:rsid w:val="000742D7"/>
    <w:rsid w:val="000742F1"/>
    <w:rsid w:val="000744CD"/>
    <w:rsid w:val="00074666"/>
    <w:rsid w:val="00074DED"/>
    <w:rsid w:val="000753CD"/>
    <w:rsid w:val="000769DB"/>
    <w:rsid w:val="00077A14"/>
    <w:rsid w:val="00077DF3"/>
    <w:rsid w:val="000806A3"/>
    <w:rsid w:val="00080BCA"/>
    <w:rsid w:val="0008455F"/>
    <w:rsid w:val="00084CA1"/>
    <w:rsid w:val="0008660D"/>
    <w:rsid w:val="00086C45"/>
    <w:rsid w:val="000870C7"/>
    <w:rsid w:val="0008735E"/>
    <w:rsid w:val="00087C2D"/>
    <w:rsid w:val="00087F3F"/>
    <w:rsid w:val="00090665"/>
    <w:rsid w:val="00091C1A"/>
    <w:rsid w:val="00092ADB"/>
    <w:rsid w:val="00092F97"/>
    <w:rsid w:val="000939F4"/>
    <w:rsid w:val="000A0A69"/>
    <w:rsid w:val="000A0C9B"/>
    <w:rsid w:val="000A11E5"/>
    <w:rsid w:val="000A206A"/>
    <w:rsid w:val="000A22F4"/>
    <w:rsid w:val="000A2582"/>
    <w:rsid w:val="000A278B"/>
    <w:rsid w:val="000A3182"/>
    <w:rsid w:val="000A450D"/>
    <w:rsid w:val="000A591E"/>
    <w:rsid w:val="000A6201"/>
    <w:rsid w:val="000A6485"/>
    <w:rsid w:val="000A74F6"/>
    <w:rsid w:val="000B1F63"/>
    <w:rsid w:val="000B1F78"/>
    <w:rsid w:val="000B3660"/>
    <w:rsid w:val="000B471F"/>
    <w:rsid w:val="000B47ED"/>
    <w:rsid w:val="000C0836"/>
    <w:rsid w:val="000C12B0"/>
    <w:rsid w:val="000C2A36"/>
    <w:rsid w:val="000C3DE7"/>
    <w:rsid w:val="000C3FB0"/>
    <w:rsid w:val="000C47A4"/>
    <w:rsid w:val="000C5944"/>
    <w:rsid w:val="000D0BC0"/>
    <w:rsid w:val="000D2518"/>
    <w:rsid w:val="000D4905"/>
    <w:rsid w:val="000D4C80"/>
    <w:rsid w:val="000D58D1"/>
    <w:rsid w:val="000E06F5"/>
    <w:rsid w:val="000E263A"/>
    <w:rsid w:val="000E4E92"/>
    <w:rsid w:val="000E6DBC"/>
    <w:rsid w:val="000E7479"/>
    <w:rsid w:val="000E79C4"/>
    <w:rsid w:val="000F09E8"/>
    <w:rsid w:val="000F0A2F"/>
    <w:rsid w:val="000F15AB"/>
    <w:rsid w:val="000F4112"/>
    <w:rsid w:val="000F47CE"/>
    <w:rsid w:val="000F5829"/>
    <w:rsid w:val="000F6E6F"/>
    <w:rsid w:val="000F75DD"/>
    <w:rsid w:val="000F7AAA"/>
    <w:rsid w:val="0010142C"/>
    <w:rsid w:val="00101EC0"/>
    <w:rsid w:val="001021DD"/>
    <w:rsid w:val="00102D72"/>
    <w:rsid w:val="001036F8"/>
    <w:rsid w:val="001043E2"/>
    <w:rsid w:val="001057B6"/>
    <w:rsid w:val="00106DB0"/>
    <w:rsid w:val="0010720E"/>
    <w:rsid w:val="0010777C"/>
    <w:rsid w:val="001077DD"/>
    <w:rsid w:val="00107CD2"/>
    <w:rsid w:val="00110E85"/>
    <w:rsid w:val="00110F99"/>
    <w:rsid w:val="00111562"/>
    <w:rsid w:val="001117ED"/>
    <w:rsid w:val="00113A5A"/>
    <w:rsid w:val="00114E15"/>
    <w:rsid w:val="00115B11"/>
    <w:rsid w:val="00116F98"/>
    <w:rsid w:val="00117616"/>
    <w:rsid w:val="00117CBB"/>
    <w:rsid w:val="00120AF9"/>
    <w:rsid w:val="00121F42"/>
    <w:rsid w:val="001221E5"/>
    <w:rsid w:val="0012236E"/>
    <w:rsid w:val="001225AB"/>
    <w:rsid w:val="001231E8"/>
    <w:rsid w:val="00123432"/>
    <w:rsid w:val="0012379D"/>
    <w:rsid w:val="001237BA"/>
    <w:rsid w:val="00123E79"/>
    <w:rsid w:val="00124799"/>
    <w:rsid w:val="0012564C"/>
    <w:rsid w:val="001273CA"/>
    <w:rsid w:val="00127608"/>
    <w:rsid w:val="0012781B"/>
    <w:rsid w:val="0013151A"/>
    <w:rsid w:val="001317E5"/>
    <w:rsid w:val="00132E04"/>
    <w:rsid w:val="00134B35"/>
    <w:rsid w:val="00136682"/>
    <w:rsid w:val="00136B8D"/>
    <w:rsid w:val="00141743"/>
    <w:rsid w:val="00141D67"/>
    <w:rsid w:val="00141D70"/>
    <w:rsid w:val="00142035"/>
    <w:rsid w:val="001420CC"/>
    <w:rsid w:val="00142E37"/>
    <w:rsid w:val="00142E73"/>
    <w:rsid w:val="001430EF"/>
    <w:rsid w:val="00143927"/>
    <w:rsid w:val="00144D99"/>
    <w:rsid w:val="001465B5"/>
    <w:rsid w:val="001502A9"/>
    <w:rsid w:val="00150608"/>
    <w:rsid w:val="00151CB6"/>
    <w:rsid w:val="00152A0B"/>
    <w:rsid w:val="001554F9"/>
    <w:rsid w:val="00156E69"/>
    <w:rsid w:val="0016100B"/>
    <w:rsid w:val="00161B55"/>
    <w:rsid w:val="001626E4"/>
    <w:rsid w:val="00164959"/>
    <w:rsid w:val="0016505E"/>
    <w:rsid w:val="00165060"/>
    <w:rsid w:val="001651F3"/>
    <w:rsid w:val="0016589B"/>
    <w:rsid w:val="00170117"/>
    <w:rsid w:val="001708C3"/>
    <w:rsid w:val="00170E60"/>
    <w:rsid w:val="0017114D"/>
    <w:rsid w:val="00172A5E"/>
    <w:rsid w:val="001742E4"/>
    <w:rsid w:val="00174C33"/>
    <w:rsid w:val="00174D9B"/>
    <w:rsid w:val="00175910"/>
    <w:rsid w:val="00176291"/>
    <w:rsid w:val="00176861"/>
    <w:rsid w:val="00176CBF"/>
    <w:rsid w:val="00177C66"/>
    <w:rsid w:val="001803D4"/>
    <w:rsid w:val="001816B6"/>
    <w:rsid w:val="00181747"/>
    <w:rsid w:val="00181B4E"/>
    <w:rsid w:val="0018366F"/>
    <w:rsid w:val="00185621"/>
    <w:rsid w:val="00185E86"/>
    <w:rsid w:val="00186BFE"/>
    <w:rsid w:val="001871FF"/>
    <w:rsid w:val="00187542"/>
    <w:rsid w:val="00187713"/>
    <w:rsid w:val="00187E3D"/>
    <w:rsid w:val="001901FB"/>
    <w:rsid w:val="001907C8"/>
    <w:rsid w:val="00190B84"/>
    <w:rsid w:val="0019220E"/>
    <w:rsid w:val="001926F2"/>
    <w:rsid w:val="00192B9A"/>
    <w:rsid w:val="00192C13"/>
    <w:rsid w:val="001948BD"/>
    <w:rsid w:val="00194A29"/>
    <w:rsid w:val="001962BA"/>
    <w:rsid w:val="00196753"/>
    <w:rsid w:val="0019787F"/>
    <w:rsid w:val="001A026B"/>
    <w:rsid w:val="001A105E"/>
    <w:rsid w:val="001A2024"/>
    <w:rsid w:val="001A3363"/>
    <w:rsid w:val="001A476A"/>
    <w:rsid w:val="001A49E8"/>
    <w:rsid w:val="001A5563"/>
    <w:rsid w:val="001A5D7E"/>
    <w:rsid w:val="001A7BAD"/>
    <w:rsid w:val="001B01BE"/>
    <w:rsid w:val="001B0483"/>
    <w:rsid w:val="001B2607"/>
    <w:rsid w:val="001B2E26"/>
    <w:rsid w:val="001B5A9A"/>
    <w:rsid w:val="001B5E06"/>
    <w:rsid w:val="001B6073"/>
    <w:rsid w:val="001B6246"/>
    <w:rsid w:val="001B6751"/>
    <w:rsid w:val="001B7190"/>
    <w:rsid w:val="001B7308"/>
    <w:rsid w:val="001C2374"/>
    <w:rsid w:val="001C2E15"/>
    <w:rsid w:val="001C361D"/>
    <w:rsid w:val="001C3900"/>
    <w:rsid w:val="001C416F"/>
    <w:rsid w:val="001C4CB6"/>
    <w:rsid w:val="001C6ED0"/>
    <w:rsid w:val="001C7AE8"/>
    <w:rsid w:val="001C7C5E"/>
    <w:rsid w:val="001C7D49"/>
    <w:rsid w:val="001D0C3E"/>
    <w:rsid w:val="001D1C00"/>
    <w:rsid w:val="001D1CAB"/>
    <w:rsid w:val="001D27B6"/>
    <w:rsid w:val="001D3943"/>
    <w:rsid w:val="001D3C56"/>
    <w:rsid w:val="001D4081"/>
    <w:rsid w:val="001D4B64"/>
    <w:rsid w:val="001D4FEE"/>
    <w:rsid w:val="001D5779"/>
    <w:rsid w:val="001D75AF"/>
    <w:rsid w:val="001E5760"/>
    <w:rsid w:val="001E63D1"/>
    <w:rsid w:val="001E66F2"/>
    <w:rsid w:val="001F460B"/>
    <w:rsid w:val="001F58A1"/>
    <w:rsid w:val="001F5A3C"/>
    <w:rsid w:val="001F6560"/>
    <w:rsid w:val="001F6E26"/>
    <w:rsid w:val="001F6EAC"/>
    <w:rsid w:val="001F7E90"/>
    <w:rsid w:val="001F7FB4"/>
    <w:rsid w:val="00200335"/>
    <w:rsid w:val="00201A84"/>
    <w:rsid w:val="002026C4"/>
    <w:rsid w:val="00203B7F"/>
    <w:rsid w:val="00203F52"/>
    <w:rsid w:val="002042A7"/>
    <w:rsid w:val="0020491E"/>
    <w:rsid w:val="002068FC"/>
    <w:rsid w:val="0020712D"/>
    <w:rsid w:val="00207A5D"/>
    <w:rsid w:val="002101B9"/>
    <w:rsid w:val="0021033A"/>
    <w:rsid w:val="00210BFF"/>
    <w:rsid w:val="00210DD6"/>
    <w:rsid w:val="002110D8"/>
    <w:rsid w:val="00212520"/>
    <w:rsid w:val="0021429C"/>
    <w:rsid w:val="00215C87"/>
    <w:rsid w:val="002164AA"/>
    <w:rsid w:val="0021688E"/>
    <w:rsid w:val="00217083"/>
    <w:rsid w:val="00217605"/>
    <w:rsid w:val="00217806"/>
    <w:rsid w:val="00217DC1"/>
    <w:rsid w:val="00220406"/>
    <w:rsid w:val="00220446"/>
    <w:rsid w:val="00220E1E"/>
    <w:rsid w:val="002216E6"/>
    <w:rsid w:val="00221DED"/>
    <w:rsid w:val="0022233E"/>
    <w:rsid w:val="00222E30"/>
    <w:rsid w:val="00223D40"/>
    <w:rsid w:val="002240A3"/>
    <w:rsid w:val="002248B4"/>
    <w:rsid w:val="00225103"/>
    <w:rsid w:val="0022568B"/>
    <w:rsid w:val="002260DB"/>
    <w:rsid w:val="00226C9E"/>
    <w:rsid w:val="0022704C"/>
    <w:rsid w:val="00227748"/>
    <w:rsid w:val="0023121F"/>
    <w:rsid w:val="00234404"/>
    <w:rsid w:val="00234D76"/>
    <w:rsid w:val="00236954"/>
    <w:rsid w:val="00237F08"/>
    <w:rsid w:val="002408B0"/>
    <w:rsid w:val="00240D03"/>
    <w:rsid w:val="00241328"/>
    <w:rsid w:val="002431F9"/>
    <w:rsid w:val="00244071"/>
    <w:rsid w:val="00244FDB"/>
    <w:rsid w:val="00244FF5"/>
    <w:rsid w:val="002453AF"/>
    <w:rsid w:val="00245803"/>
    <w:rsid w:val="002469AC"/>
    <w:rsid w:val="002501FD"/>
    <w:rsid w:val="002510F3"/>
    <w:rsid w:val="00251165"/>
    <w:rsid w:val="002514EF"/>
    <w:rsid w:val="0025275F"/>
    <w:rsid w:val="00252B1B"/>
    <w:rsid w:val="00253011"/>
    <w:rsid w:val="00254B5F"/>
    <w:rsid w:val="00254EBB"/>
    <w:rsid w:val="0025527A"/>
    <w:rsid w:val="00255399"/>
    <w:rsid w:val="00255C0E"/>
    <w:rsid w:val="00260A62"/>
    <w:rsid w:val="00260EBF"/>
    <w:rsid w:val="00261453"/>
    <w:rsid w:val="002614D1"/>
    <w:rsid w:val="00261B76"/>
    <w:rsid w:val="00261CEE"/>
    <w:rsid w:val="0026215B"/>
    <w:rsid w:val="00263010"/>
    <w:rsid w:val="002637B1"/>
    <w:rsid w:val="00263D06"/>
    <w:rsid w:val="002642F0"/>
    <w:rsid w:val="00264CA3"/>
    <w:rsid w:val="00265371"/>
    <w:rsid w:val="00266F44"/>
    <w:rsid w:val="00267393"/>
    <w:rsid w:val="00267BD8"/>
    <w:rsid w:val="00270898"/>
    <w:rsid w:val="002708EA"/>
    <w:rsid w:val="00271614"/>
    <w:rsid w:val="002720A4"/>
    <w:rsid w:val="0027392E"/>
    <w:rsid w:val="00273F5C"/>
    <w:rsid w:val="00275088"/>
    <w:rsid w:val="00276090"/>
    <w:rsid w:val="0027622F"/>
    <w:rsid w:val="00277ADC"/>
    <w:rsid w:val="002809E1"/>
    <w:rsid w:val="0028191D"/>
    <w:rsid w:val="00281CA8"/>
    <w:rsid w:val="002826DC"/>
    <w:rsid w:val="00286B31"/>
    <w:rsid w:val="0028772B"/>
    <w:rsid w:val="00290525"/>
    <w:rsid w:val="0029398B"/>
    <w:rsid w:val="00293BB6"/>
    <w:rsid w:val="0029558B"/>
    <w:rsid w:val="00295DDA"/>
    <w:rsid w:val="00297614"/>
    <w:rsid w:val="002A0006"/>
    <w:rsid w:val="002A023A"/>
    <w:rsid w:val="002A1BA9"/>
    <w:rsid w:val="002A1F5B"/>
    <w:rsid w:val="002A28A1"/>
    <w:rsid w:val="002A297A"/>
    <w:rsid w:val="002A419F"/>
    <w:rsid w:val="002A5297"/>
    <w:rsid w:val="002A5834"/>
    <w:rsid w:val="002A71C0"/>
    <w:rsid w:val="002A75F9"/>
    <w:rsid w:val="002A7BD6"/>
    <w:rsid w:val="002B1E7F"/>
    <w:rsid w:val="002B6495"/>
    <w:rsid w:val="002B703B"/>
    <w:rsid w:val="002B78F4"/>
    <w:rsid w:val="002B7E34"/>
    <w:rsid w:val="002C1553"/>
    <w:rsid w:val="002C35AA"/>
    <w:rsid w:val="002C3839"/>
    <w:rsid w:val="002C3A74"/>
    <w:rsid w:val="002C7A3E"/>
    <w:rsid w:val="002C7F48"/>
    <w:rsid w:val="002D01A4"/>
    <w:rsid w:val="002D1257"/>
    <w:rsid w:val="002D1676"/>
    <w:rsid w:val="002D2AD8"/>
    <w:rsid w:val="002D36E3"/>
    <w:rsid w:val="002D3C70"/>
    <w:rsid w:val="002D3EDE"/>
    <w:rsid w:val="002D45E5"/>
    <w:rsid w:val="002D4E73"/>
    <w:rsid w:val="002D74E1"/>
    <w:rsid w:val="002D7D17"/>
    <w:rsid w:val="002E0AD0"/>
    <w:rsid w:val="002E36E2"/>
    <w:rsid w:val="002E39D3"/>
    <w:rsid w:val="002E4599"/>
    <w:rsid w:val="002E4CFC"/>
    <w:rsid w:val="002E6DC4"/>
    <w:rsid w:val="002F0161"/>
    <w:rsid w:val="002F0A1B"/>
    <w:rsid w:val="002F285F"/>
    <w:rsid w:val="002F2C00"/>
    <w:rsid w:val="002F39B1"/>
    <w:rsid w:val="002F4363"/>
    <w:rsid w:val="002F6162"/>
    <w:rsid w:val="002F631A"/>
    <w:rsid w:val="003012F6"/>
    <w:rsid w:val="003026BB"/>
    <w:rsid w:val="00303F9C"/>
    <w:rsid w:val="00304054"/>
    <w:rsid w:val="00306EFF"/>
    <w:rsid w:val="003072CA"/>
    <w:rsid w:val="00310E42"/>
    <w:rsid w:val="0031175A"/>
    <w:rsid w:val="003120E7"/>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3ED2"/>
    <w:rsid w:val="0032402B"/>
    <w:rsid w:val="00326007"/>
    <w:rsid w:val="00326E68"/>
    <w:rsid w:val="00327195"/>
    <w:rsid w:val="003308D8"/>
    <w:rsid w:val="00330C62"/>
    <w:rsid w:val="003317FE"/>
    <w:rsid w:val="00331B04"/>
    <w:rsid w:val="00332549"/>
    <w:rsid w:val="003326C8"/>
    <w:rsid w:val="00332808"/>
    <w:rsid w:val="00333AE7"/>
    <w:rsid w:val="00337AC1"/>
    <w:rsid w:val="00340362"/>
    <w:rsid w:val="00340578"/>
    <w:rsid w:val="00344836"/>
    <w:rsid w:val="00345849"/>
    <w:rsid w:val="00345B48"/>
    <w:rsid w:val="00345B9C"/>
    <w:rsid w:val="00346BFC"/>
    <w:rsid w:val="00346EC7"/>
    <w:rsid w:val="003475A5"/>
    <w:rsid w:val="00350464"/>
    <w:rsid w:val="003506F1"/>
    <w:rsid w:val="00350D63"/>
    <w:rsid w:val="003516E9"/>
    <w:rsid w:val="00352438"/>
    <w:rsid w:val="00352759"/>
    <w:rsid w:val="00352766"/>
    <w:rsid w:val="00352A8D"/>
    <w:rsid w:val="00353AC6"/>
    <w:rsid w:val="00354A3A"/>
    <w:rsid w:val="00355769"/>
    <w:rsid w:val="00356186"/>
    <w:rsid w:val="003563BB"/>
    <w:rsid w:val="00356E63"/>
    <w:rsid w:val="00357D35"/>
    <w:rsid w:val="00357DEE"/>
    <w:rsid w:val="003602C0"/>
    <w:rsid w:val="00360F89"/>
    <w:rsid w:val="00362AF5"/>
    <w:rsid w:val="00362E99"/>
    <w:rsid w:val="0036415B"/>
    <w:rsid w:val="00364198"/>
    <w:rsid w:val="00364F4C"/>
    <w:rsid w:val="00365034"/>
    <w:rsid w:val="00365B76"/>
    <w:rsid w:val="003665DB"/>
    <w:rsid w:val="00370AB5"/>
    <w:rsid w:val="00370F9C"/>
    <w:rsid w:val="003714DA"/>
    <w:rsid w:val="00372B36"/>
    <w:rsid w:val="00373572"/>
    <w:rsid w:val="00373D9A"/>
    <w:rsid w:val="003744B1"/>
    <w:rsid w:val="003746D9"/>
    <w:rsid w:val="00374E28"/>
    <w:rsid w:val="0037519C"/>
    <w:rsid w:val="003755E1"/>
    <w:rsid w:val="00376D37"/>
    <w:rsid w:val="00377CC7"/>
    <w:rsid w:val="003811F4"/>
    <w:rsid w:val="00382734"/>
    <w:rsid w:val="003841DE"/>
    <w:rsid w:val="003845F1"/>
    <w:rsid w:val="00384FB9"/>
    <w:rsid w:val="003856C5"/>
    <w:rsid w:val="003866CA"/>
    <w:rsid w:val="00386721"/>
    <w:rsid w:val="00393532"/>
    <w:rsid w:val="00393F47"/>
    <w:rsid w:val="003943DC"/>
    <w:rsid w:val="00396CF9"/>
    <w:rsid w:val="003974E2"/>
    <w:rsid w:val="003A0619"/>
    <w:rsid w:val="003A30D4"/>
    <w:rsid w:val="003A52F4"/>
    <w:rsid w:val="003A657A"/>
    <w:rsid w:val="003A79AA"/>
    <w:rsid w:val="003A7F1F"/>
    <w:rsid w:val="003B111E"/>
    <w:rsid w:val="003B124D"/>
    <w:rsid w:val="003B4630"/>
    <w:rsid w:val="003B4F5F"/>
    <w:rsid w:val="003B50F7"/>
    <w:rsid w:val="003B55D7"/>
    <w:rsid w:val="003B5DB5"/>
    <w:rsid w:val="003B6AC0"/>
    <w:rsid w:val="003B7AAD"/>
    <w:rsid w:val="003B7EBC"/>
    <w:rsid w:val="003C0487"/>
    <w:rsid w:val="003C0496"/>
    <w:rsid w:val="003C0B16"/>
    <w:rsid w:val="003C159F"/>
    <w:rsid w:val="003C2869"/>
    <w:rsid w:val="003C296C"/>
    <w:rsid w:val="003C2A49"/>
    <w:rsid w:val="003C399E"/>
    <w:rsid w:val="003C3AAF"/>
    <w:rsid w:val="003C3E28"/>
    <w:rsid w:val="003C3FFD"/>
    <w:rsid w:val="003C41C4"/>
    <w:rsid w:val="003C579B"/>
    <w:rsid w:val="003C6E57"/>
    <w:rsid w:val="003C70DB"/>
    <w:rsid w:val="003D142F"/>
    <w:rsid w:val="003D39E3"/>
    <w:rsid w:val="003D56E8"/>
    <w:rsid w:val="003D6A97"/>
    <w:rsid w:val="003D7509"/>
    <w:rsid w:val="003E2557"/>
    <w:rsid w:val="003E3619"/>
    <w:rsid w:val="003E4F57"/>
    <w:rsid w:val="003E4F6E"/>
    <w:rsid w:val="003E623A"/>
    <w:rsid w:val="003E6C75"/>
    <w:rsid w:val="003F0FCC"/>
    <w:rsid w:val="003F11F9"/>
    <w:rsid w:val="003F4DEE"/>
    <w:rsid w:val="003F5B0D"/>
    <w:rsid w:val="003F7034"/>
    <w:rsid w:val="003F7C54"/>
    <w:rsid w:val="004000D6"/>
    <w:rsid w:val="004005FB"/>
    <w:rsid w:val="00400B9D"/>
    <w:rsid w:val="004011B4"/>
    <w:rsid w:val="004014AF"/>
    <w:rsid w:val="00401A5B"/>
    <w:rsid w:val="004034AA"/>
    <w:rsid w:val="00403EF8"/>
    <w:rsid w:val="00404124"/>
    <w:rsid w:val="004048CF"/>
    <w:rsid w:val="00405980"/>
    <w:rsid w:val="00405B57"/>
    <w:rsid w:val="00407572"/>
    <w:rsid w:val="00407809"/>
    <w:rsid w:val="0041010A"/>
    <w:rsid w:val="0041022E"/>
    <w:rsid w:val="004112CA"/>
    <w:rsid w:val="004120E7"/>
    <w:rsid w:val="004138DD"/>
    <w:rsid w:val="0041481C"/>
    <w:rsid w:val="0041524B"/>
    <w:rsid w:val="00415D56"/>
    <w:rsid w:val="004161D1"/>
    <w:rsid w:val="00416633"/>
    <w:rsid w:val="0041690D"/>
    <w:rsid w:val="00416945"/>
    <w:rsid w:val="004172AA"/>
    <w:rsid w:val="004179BD"/>
    <w:rsid w:val="0042007A"/>
    <w:rsid w:val="00420682"/>
    <w:rsid w:val="00420A6D"/>
    <w:rsid w:val="00423893"/>
    <w:rsid w:val="00423920"/>
    <w:rsid w:val="00423BDA"/>
    <w:rsid w:val="00423EFB"/>
    <w:rsid w:val="004243BF"/>
    <w:rsid w:val="0042518E"/>
    <w:rsid w:val="00425B67"/>
    <w:rsid w:val="0042608C"/>
    <w:rsid w:val="00426FED"/>
    <w:rsid w:val="0042718A"/>
    <w:rsid w:val="00427387"/>
    <w:rsid w:val="004306EF"/>
    <w:rsid w:val="004319BB"/>
    <w:rsid w:val="0043396A"/>
    <w:rsid w:val="0043486B"/>
    <w:rsid w:val="00435C81"/>
    <w:rsid w:val="00435D07"/>
    <w:rsid w:val="0044039E"/>
    <w:rsid w:val="00440796"/>
    <w:rsid w:val="00441F03"/>
    <w:rsid w:val="00442643"/>
    <w:rsid w:val="00443FE7"/>
    <w:rsid w:val="00445030"/>
    <w:rsid w:val="0044581C"/>
    <w:rsid w:val="00445FCB"/>
    <w:rsid w:val="00446D25"/>
    <w:rsid w:val="004474D4"/>
    <w:rsid w:val="00447C4D"/>
    <w:rsid w:val="004515F9"/>
    <w:rsid w:val="00452981"/>
    <w:rsid w:val="004534EB"/>
    <w:rsid w:val="0045362E"/>
    <w:rsid w:val="00454133"/>
    <w:rsid w:val="004553BA"/>
    <w:rsid w:val="00455A76"/>
    <w:rsid w:val="00456AAA"/>
    <w:rsid w:val="00456B98"/>
    <w:rsid w:val="0045762C"/>
    <w:rsid w:val="004627FF"/>
    <w:rsid w:val="0046295C"/>
    <w:rsid w:val="004646BA"/>
    <w:rsid w:val="0046518C"/>
    <w:rsid w:val="00465753"/>
    <w:rsid w:val="00466999"/>
    <w:rsid w:val="004714EF"/>
    <w:rsid w:val="0047156F"/>
    <w:rsid w:val="00471777"/>
    <w:rsid w:val="00471970"/>
    <w:rsid w:val="00471E85"/>
    <w:rsid w:val="004752F9"/>
    <w:rsid w:val="00475C0E"/>
    <w:rsid w:val="004776FD"/>
    <w:rsid w:val="00477C10"/>
    <w:rsid w:val="0048039A"/>
    <w:rsid w:val="00480BCD"/>
    <w:rsid w:val="00480E6F"/>
    <w:rsid w:val="0048345D"/>
    <w:rsid w:val="004845B5"/>
    <w:rsid w:val="00485B58"/>
    <w:rsid w:val="00486D78"/>
    <w:rsid w:val="00487019"/>
    <w:rsid w:val="00487504"/>
    <w:rsid w:val="004877EE"/>
    <w:rsid w:val="00487D25"/>
    <w:rsid w:val="004901E1"/>
    <w:rsid w:val="00490EED"/>
    <w:rsid w:val="0049140B"/>
    <w:rsid w:val="00491C7E"/>
    <w:rsid w:val="004929AC"/>
    <w:rsid w:val="00494536"/>
    <w:rsid w:val="0049685E"/>
    <w:rsid w:val="00497459"/>
    <w:rsid w:val="00497A04"/>
    <w:rsid w:val="004A0025"/>
    <w:rsid w:val="004A0846"/>
    <w:rsid w:val="004A1513"/>
    <w:rsid w:val="004A1E34"/>
    <w:rsid w:val="004A4487"/>
    <w:rsid w:val="004A476D"/>
    <w:rsid w:val="004A53EF"/>
    <w:rsid w:val="004A688C"/>
    <w:rsid w:val="004A699A"/>
    <w:rsid w:val="004A6D06"/>
    <w:rsid w:val="004A7746"/>
    <w:rsid w:val="004A7D38"/>
    <w:rsid w:val="004B1B37"/>
    <w:rsid w:val="004B31D5"/>
    <w:rsid w:val="004B3390"/>
    <w:rsid w:val="004B3E3A"/>
    <w:rsid w:val="004B4199"/>
    <w:rsid w:val="004B552D"/>
    <w:rsid w:val="004B7322"/>
    <w:rsid w:val="004C0222"/>
    <w:rsid w:val="004C085E"/>
    <w:rsid w:val="004C10A5"/>
    <w:rsid w:val="004C2744"/>
    <w:rsid w:val="004C3419"/>
    <w:rsid w:val="004C52CB"/>
    <w:rsid w:val="004C59A1"/>
    <w:rsid w:val="004C67BE"/>
    <w:rsid w:val="004C7620"/>
    <w:rsid w:val="004D0A42"/>
    <w:rsid w:val="004D13BA"/>
    <w:rsid w:val="004D2FC4"/>
    <w:rsid w:val="004D312E"/>
    <w:rsid w:val="004D4CD6"/>
    <w:rsid w:val="004D5528"/>
    <w:rsid w:val="004E02F8"/>
    <w:rsid w:val="004E0456"/>
    <w:rsid w:val="004E08FD"/>
    <w:rsid w:val="004E0D00"/>
    <w:rsid w:val="004E1C32"/>
    <w:rsid w:val="004E1F1F"/>
    <w:rsid w:val="004E35D8"/>
    <w:rsid w:val="004E3D18"/>
    <w:rsid w:val="004E4D64"/>
    <w:rsid w:val="004E66E3"/>
    <w:rsid w:val="004E7AAC"/>
    <w:rsid w:val="004E7D19"/>
    <w:rsid w:val="004E7E22"/>
    <w:rsid w:val="004F10DB"/>
    <w:rsid w:val="004F1645"/>
    <w:rsid w:val="004F1A0F"/>
    <w:rsid w:val="004F3335"/>
    <w:rsid w:val="004F36EA"/>
    <w:rsid w:val="004F3EE0"/>
    <w:rsid w:val="004F42D2"/>
    <w:rsid w:val="004F42F6"/>
    <w:rsid w:val="004F47B7"/>
    <w:rsid w:val="004F4E62"/>
    <w:rsid w:val="004F5028"/>
    <w:rsid w:val="004F526D"/>
    <w:rsid w:val="004F5A62"/>
    <w:rsid w:val="004F65C0"/>
    <w:rsid w:val="004F6758"/>
    <w:rsid w:val="004F67EB"/>
    <w:rsid w:val="00500234"/>
    <w:rsid w:val="00500ACB"/>
    <w:rsid w:val="005010D7"/>
    <w:rsid w:val="0050262A"/>
    <w:rsid w:val="005026EB"/>
    <w:rsid w:val="00502744"/>
    <w:rsid w:val="00503043"/>
    <w:rsid w:val="0050401A"/>
    <w:rsid w:val="00505363"/>
    <w:rsid w:val="00505A9C"/>
    <w:rsid w:val="00506759"/>
    <w:rsid w:val="00510C89"/>
    <w:rsid w:val="0051124E"/>
    <w:rsid w:val="005146BF"/>
    <w:rsid w:val="00517C03"/>
    <w:rsid w:val="00520B9F"/>
    <w:rsid w:val="005218E3"/>
    <w:rsid w:val="0052226F"/>
    <w:rsid w:val="0052316D"/>
    <w:rsid w:val="005231F3"/>
    <w:rsid w:val="005241F2"/>
    <w:rsid w:val="005242EF"/>
    <w:rsid w:val="005273BB"/>
    <w:rsid w:val="00530BBE"/>
    <w:rsid w:val="00530DF4"/>
    <w:rsid w:val="00531C7D"/>
    <w:rsid w:val="005326EE"/>
    <w:rsid w:val="0053270A"/>
    <w:rsid w:val="00532B3A"/>
    <w:rsid w:val="005340A0"/>
    <w:rsid w:val="00534C41"/>
    <w:rsid w:val="005359E5"/>
    <w:rsid w:val="00540ED6"/>
    <w:rsid w:val="00541096"/>
    <w:rsid w:val="00541200"/>
    <w:rsid w:val="005428FC"/>
    <w:rsid w:val="0054370C"/>
    <w:rsid w:val="00543EAE"/>
    <w:rsid w:val="00544A95"/>
    <w:rsid w:val="00544D06"/>
    <w:rsid w:val="00545CC3"/>
    <w:rsid w:val="00550677"/>
    <w:rsid w:val="00551475"/>
    <w:rsid w:val="005517F9"/>
    <w:rsid w:val="005527D2"/>
    <w:rsid w:val="005579E3"/>
    <w:rsid w:val="0056232A"/>
    <w:rsid w:val="00563334"/>
    <w:rsid w:val="005634EE"/>
    <w:rsid w:val="00563FF5"/>
    <w:rsid w:val="005647F4"/>
    <w:rsid w:val="00565A76"/>
    <w:rsid w:val="00566FA0"/>
    <w:rsid w:val="00570602"/>
    <w:rsid w:val="005707C0"/>
    <w:rsid w:val="00571DCD"/>
    <w:rsid w:val="00572460"/>
    <w:rsid w:val="00572E1D"/>
    <w:rsid w:val="00575820"/>
    <w:rsid w:val="00576A12"/>
    <w:rsid w:val="00577CB2"/>
    <w:rsid w:val="00580C25"/>
    <w:rsid w:val="0058157E"/>
    <w:rsid w:val="00581847"/>
    <w:rsid w:val="00581B43"/>
    <w:rsid w:val="00582174"/>
    <w:rsid w:val="0058283A"/>
    <w:rsid w:val="00582BB1"/>
    <w:rsid w:val="005831DC"/>
    <w:rsid w:val="00583BC3"/>
    <w:rsid w:val="00583D6C"/>
    <w:rsid w:val="00583D89"/>
    <w:rsid w:val="00586133"/>
    <w:rsid w:val="00586232"/>
    <w:rsid w:val="00586E2B"/>
    <w:rsid w:val="00587AA8"/>
    <w:rsid w:val="00587BC6"/>
    <w:rsid w:val="00590D27"/>
    <w:rsid w:val="005919D7"/>
    <w:rsid w:val="005930A2"/>
    <w:rsid w:val="0059451A"/>
    <w:rsid w:val="005962A5"/>
    <w:rsid w:val="00596803"/>
    <w:rsid w:val="00596DBB"/>
    <w:rsid w:val="00597281"/>
    <w:rsid w:val="0059735E"/>
    <w:rsid w:val="00597BB5"/>
    <w:rsid w:val="005A1E0A"/>
    <w:rsid w:val="005A2B8A"/>
    <w:rsid w:val="005A2FA6"/>
    <w:rsid w:val="005A3DFE"/>
    <w:rsid w:val="005A78CE"/>
    <w:rsid w:val="005A7DF7"/>
    <w:rsid w:val="005A7EAE"/>
    <w:rsid w:val="005B0E16"/>
    <w:rsid w:val="005B0F9A"/>
    <w:rsid w:val="005B1780"/>
    <w:rsid w:val="005B5097"/>
    <w:rsid w:val="005B612E"/>
    <w:rsid w:val="005C15FA"/>
    <w:rsid w:val="005C169C"/>
    <w:rsid w:val="005C1767"/>
    <w:rsid w:val="005C37C4"/>
    <w:rsid w:val="005C381A"/>
    <w:rsid w:val="005C3886"/>
    <w:rsid w:val="005C62B7"/>
    <w:rsid w:val="005D00B7"/>
    <w:rsid w:val="005D0E65"/>
    <w:rsid w:val="005D401E"/>
    <w:rsid w:val="005D4127"/>
    <w:rsid w:val="005D5EB6"/>
    <w:rsid w:val="005D68F0"/>
    <w:rsid w:val="005E25D2"/>
    <w:rsid w:val="005E3068"/>
    <w:rsid w:val="005E3379"/>
    <w:rsid w:val="005E3CD2"/>
    <w:rsid w:val="005E4294"/>
    <w:rsid w:val="005E43A6"/>
    <w:rsid w:val="005E4AD8"/>
    <w:rsid w:val="005E6509"/>
    <w:rsid w:val="005E6AF9"/>
    <w:rsid w:val="005E6CF4"/>
    <w:rsid w:val="005E6FFC"/>
    <w:rsid w:val="005E7298"/>
    <w:rsid w:val="005E7B28"/>
    <w:rsid w:val="005F1219"/>
    <w:rsid w:val="005F136A"/>
    <w:rsid w:val="005F17BB"/>
    <w:rsid w:val="005F25A2"/>
    <w:rsid w:val="005F6793"/>
    <w:rsid w:val="005F7679"/>
    <w:rsid w:val="005F768C"/>
    <w:rsid w:val="005F79AE"/>
    <w:rsid w:val="005F7E68"/>
    <w:rsid w:val="0060020E"/>
    <w:rsid w:val="00600EA8"/>
    <w:rsid w:val="00600F72"/>
    <w:rsid w:val="00601DDC"/>
    <w:rsid w:val="006028DD"/>
    <w:rsid w:val="006034CD"/>
    <w:rsid w:val="00603C96"/>
    <w:rsid w:val="00604487"/>
    <w:rsid w:val="006057C2"/>
    <w:rsid w:val="0060638E"/>
    <w:rsid w:val="00607373"/>
    <w:rsid w:val="00607E50"/>
    <w:rsid w:val="00610CA0"/>
    <w:rsid w:val="006112DC"/>
    <w:rsid w:val="00611CC2"/>
    <w:rsid w:val="00612E24"/>
    <w:rsid w:val="00613315"/>
    <w:rsid w:val="006143AF"/>
    <w:rsid w:val="006154BD"/>
    <w:rsid w:val="00615BB4"/>
    <w:rsid w:val="00620E63"/>
    <w:rsid w:val="0062161A"/>
    <w:rsid w:val="006217CF"/>
    <w:rsid w:val="00622FC5"/>
    <w:rsid w:val="0062399A"/>
    <w:rsid w:val="00623BE6"/>
    <w:rsid w:val="00623E43"/>
    <w:rsid w:val="006248AE"/>
    <w:rsid w:val="00626779"/>
    <w:rsid w:val="006271FF"/>
    <w:rsid w:val="00627CAC"/>
    <w:rsid w:val="00630D98"/>
    <w:rsid w:val="00631ACF"/>
    <w:rsid w:val="00631BEC"/>
    <w:rsid w:val="00631C81"/>
    <w:rsid w:val="006322C5"/>
    <w:rsid w:val="006328A9"/>
    <w:rsid w:val="00632975"/>
    <w:rsid w:val="00632D61"/>
    <w:rsid w:val="006330F7"/>
    <w:rsid w:val="00634BDF"/>
    <w:rsid w:val="00636C49"/>
    <w:rsid w:val="00636F3E"/>
    <w:rsid w:val="00637A95"/>
    <w:rsid w:val="00640B59"/>
    <w:rsid w:val="00640BC1"/>
    <w:rsid w:val="00645F35"/>
    <w:rsid w:val="006472E8"/>
    <w:rsid w:val="006501FA"/>
    <w:rsid w:val="00651746"/>
    <w:rsid w:val="00651B1B"/>
    <w:rsid w:val="00652C8D"/>
    <w:rsid w:val="00653992"/>
    <w:rsid w:val="006543AB"/>
    <w:rsid w:val="006543E1"/>
    <w:rsid w:val="0065499B"/>
    <w:rsid w:val="00654F25"/>
    <w:rsid w:val="00655861"/>
    <w:rsid w:val="0065588F"/>
    <w:rsid w:val="00655B09"/>
    <w:rsid w:val="00655EA1"/>
    <w:rsid w:val="00657EA7"/>
    <w:rsid w:val="00660A80"/>
    <w:rsid w:val="006612C3"/>
    <w:rsid w:val="00661C4C"/>
    <w:rsid w:val="00661C7F"/>
    <w:rsid w:val="00662507"/>
    <w:rsid w:val="0066312A"/>
    <w:rsid w:val="0066329C"/>
    <w:rsid w:val="006638F4"/>
    <w:rsid w:val="00664EC0"/>
    <w:rsid w:val="006651B7"/>
    <w:rsid w:val="00665332"/>
    <w:rsid w:val="00665DEC"/>
    <w:rsid w:val="00666A99"/>
    <w:rsid w:val="00666AA3"/>
    <w:rsid w:val="006672C0"/>
    <w:rsid w:val="0067017A"/>
    <w:rsid w:val="0067080F"/>
    <w:rsid w:val="00672FE2"/>
    <w:rsid w:val="00674D16"/>
    <w:rsid w:val="00675F37"/>
    <w:rsid w:val="006775F7"/>
    <w:rsid w:val="006777E3"/>
    <w:rsid w:val="00682A96"/>
    <w:rsid w:val="006832EB"/>
    <w:rsid w:val="00683C00"/>
    <w:rsid w:val="00687027"/>
    <w:rsid w:val="00691209"/>
    <w:rsid w:val="00691F20"/>
    <w:rsid w:val="0069271B"/>
    <w:rsid w:val="00692BF2"/>
    <w:rsid w:val="0069323D"/>
    <w:rsid w:val="00693502"/>
    <w:rsid w:val="00693716"/>
    <w:rsid w:val="00693B4C"/>
    <w:rsid w:val="00693D35"/>
    <w:rsid w:val="00694410"/>
    <w:rsid w:val="00695894"/>
    <w:rsid w:val="006967C5"/>
    <w:rsid w:val="00697013"/>
    <w:rsid w:val="006974E2"/>
    <w:rsid w:val="00697C2A"/>
    <w:rsid w:val="006A0DFD"/>
    <w:rsid w:val="006A314C"/>
    <w:rsid w:val="006A4CF8"/>
    <w:rsid w:val="006A575E"/>
    <w:rsid w:val="006A5AFE"/>
    <w:rsid w:val="006B0D16"/>
    <w:rsid w:val="006B1FBF"/>
    <w:rsid w:val="006B2302"/>
    <w:rsid w:val="006B28CC"/>
    <w:rsid w:val="006B2C9A"/>
    <w:rsid w:val="006B31C7"/>
    <w:rsid w:val="006B4583"/>
    <w:rsid w:val="006B54FB"/>
    <w:rsid w:val="006B5E31"/>
    <w:rsid w:val="006B7218"/>
    <w:rsid w:val="006B76B0"/>
    <w:rsid w:val="006C13F4"/>
    <w:rsid w:val="006C1D8F"/>
    <w:rsid w:val="006C2E3B"/>
    <w:rsid w:val="006C62C6"/>
    <w:rsid w:val="006C6567"/>
    <w:rsid w:val="006C7259"/>
    <w:rsid w:val="006D0C64"/>
    <w:rsid w:val="006D1557"/>
    <w:rsid w:val="006D3519"/>
    <w:rsid w:val="006D3956"/>
    <w:rsid w:val="006D69A2"/>
    <w:rsid w:val="006E006A"/>
    <w:rsid w:val="006E1EE1"/>
    <w:rsid w:val="006E350A"/>
    <w:rsid w:val="006E3802"/>
    <w:rsid w:val="006E3CE6"/>
    <w:rsid w:val="006E41AD"/>
    <w:rsid w:val="006E585E"/>
    <w:rsid w:val="006E6A52"/>
    <w:rsid w:val="006E6A91"/>
    <w:rsid w:val="006E72BB"/>
    <w:rsid w:val="006E79C8"/>
    <w:rsid w:val="006E7EB3"/>
    <w:rsid w:val="006F02F7"/>
    <w:rsid w:val="006F209A"/>
    <w:rsid w:val="006F33EF"/>
    <w:rsid w:val="006F5FD0"/>
    <w:rsid w:val="006F7CC1"/>
    <w:rsid w:val="007002B7"/>
    <w:rsid w:val="0070076C"/>
    <w:rsid w:val="00704DC9"/>
    <w:rsid w:val="00705019"/>
    <w:rsid w:val="00706DCE"/>
    <w:rsid w:val="00707E5F"/>
    <w:rsid w:val="007106ED"/>
    <w:rsid w:val="007109CA"/>
    <w:rsid w:val="00711D5F"/>
    <w:rsid w:val="00711EF6"/>
    <w:rsid w:val="00712509"/>
    <w:rsid w:val="00713662"/>
    <w:rsid w:val="00714C12"/>
    <w:rsid w:val="00715538"/>
    <w:rsid w:val="0071561B"/>
    <w:rsid w:val="00716939"/>
    <w:rsid w:val="00717AF5"/>
    <w:rsid w:val="0072101E"/>
    <w:rsid w:val="0072141F"/>
    <w:rsid w:val="00721AAA"/>
    <w:rsid w:val="0072395B"/>
    <w:rsid w:val="00724618"/>
    <w:rsid w:val="007319DC"/>
    <w:rsid w:val="00732EC3"/>
    <w:rsid w:val="0073327C"/>
    <w:rsid w:val="00733BC1"/>
    <w:rsid w:val="007350B4"/>
    <w:rsid w:val="00735BB7"/>
    <w:rsid w:val="00735E9E"/>
    <w:rsid w:val="0073653F"/>
    <w:rsid w:val="00736648"/>
    <w:rsid w:val="00736FE5"/>
    <w:rsid w:val="00737843"/>
    <w:rsid w:val="007421DF"/>
    <w:rsid w:val="00742BB8"/>
    <w:rsid w:val="00743517"/>
    <w:rsid w:val="007436AE"/>
    <w:rsid w:val="00745247"/>
    <w:rsid w:val="00745BC7"/>
    <w:rsid w:val="0074651B"/>
    <w:rsid w:val="00746ACA"/>
    <w:rsid w:val="0075084C"/>
    <w:rsid w:val="0075152F"/>
    <w:rsid w:val="00751B9A"/>
    <w:rsid w:val="00751E67"/>
    <w:rsid w:val="007520D1"/>
    <w:rsid w:val="0075210E"/>
    <w:rsid w:val="00752AE8"/>
    <w:rsid w:val="00752CBD"/>
    <w:rsid w:val="00754192"/>
    <w:rsid w:val="00754788"/>
    <w:rsid w:val="00755114"/>
    <w:rsid w:val="007560BD"/>
    <w:rsid w:val="00756CB2"/>
    <w:rsid w:val="00757BBF"/>
    <w:rsid w:val="007605CE"/>
    <w:rsid w:val="00762771"/>
    <w:rsid w:val="00762DB4"/>
    <w:rsid w:val="00763A12"/>
    <w:rsid w:val="00765758"/>
    <w:rsid w:val="0076718B"/>
    <w:rsid w:val="00767BF5"/>
    <w:rsid w:val="0077052B"/>
    <w:rsid w:val="00770F4A"/>
    <w:rsid w:val="0077111E"/>
    <w:rsid w:val="00771CB0"/>
    <w:rsid w:val="007746DA"/>
    <w:rsid w:val="00774C2C"/>
    <w:rsid w:val="007765F0"/>
    <w:rsid w:val="007766D1"/>
    <w:rsid w:val="00777452"/>
    <w:rsid w:val="0078124A"/>
    <w:rsid w:val="007816A2"/>
    <w:rsid w:val="00781970"/>
    <w:rsid w:val="00783DBD"/>
    <w:rsid w:val="0078419B"/>
    <w:rsid w:val="007860B0"/>
    <w:rsid w:val="00790897"/>
    <w:rsid w:val="007917DF"/>
    <w:rsid w:val="00792781"/>
    <w:rsid w:val="00793753"/>
    <w:rsid w:val="0079404E"/>
    <w:rsid w:val="007A0380"/>
    <w:rsid w:val="007A2C0C"/>
    <w:rsid w:val="007A3D6E"/>
    <w:rsid w:val="007A3E8D"/>
    <w:rsid w:val="007A6560"/>
    <w:rsid w:val="007A6986"/>
    <w:rsid w:val="007A6CC6"/>
    <w:rsid w:val="007B1299"/>
    <w:rsid w:val="007B2D15"/>
    <w:rsid w:val="007B40D9"/>
    <w:rsid w:val="007B4A7B"/>
    <w:rsid w:val="007B58CD"/>
    <w:rsid w:val="007B6894"/>
    <w:rsid w:val="007B79D5"/>
    <w:rsid w:val="007B7AC2"/>
    <w:rsid w:val="007C0B98"/>
    <w:rsid w:val="007C1564"/>
    <w:rsid w:val="007C25E6"/>
    <w:rsid w:val="007C2620"/>
    <w:rsid w:val="007C28E3"/>
    <w:rsid w:val="007C32B9"/>
    <w:rsid w:val="007C34A0"/>
    <w:rsid w:val="007C412B"/>
    <w:rsid w:val="007C5E06"/>
    <w:rsid w:val="007C6735"/>
    <w:rsid w:val="007D03D7"/>
    <w:rsid w:val="007D0821"/>
    <w:rsid w:val="007D0ED5"/>
    <w:rsid w:val="007D7A74"/>
    <w:rsid w:val="007E0C77"/>
    <w:rsid w:val="007E5B40"/>
    <w:rsid w:val="007E6179"/>
    <w:rsid w:val="007E6FB8"/>
    <w:rsid w:val="007E7838"/>
    <w:rsid w:val="007F0427"/>
    <w:rsid w:val="007F052E"/>
    <w:rsid w:val="007F15D2"/>
    <w:rsid w:val="007F23D3"/>
    <w:rsid w:val="007F414C"/>
    <w:rsid w:val="007F4DFF"/>
    <w:rsid w:val="007F6D17"/>
    <w:rsid w:val="007F719A"/>
    <w:rsid w:val="00800FAF"/>
    <w:rsid w:val="00801643"/>
    <w:rsid w:val="00804706"/>
    <w:rsid w:val="0080506A"/>
    <w:rsid w:val="00811AB5"/>
    <w:rsid w:val="00811F9E"/>
    <w:rsid w:val="00812D1A"/>
    <w:rsid w:val="00812D72"/>
    <w:rsid w:val="008130F6"/>
    <w:rsid w:val="0081366C"/>
    <w:rsid w:val="00813E78"/>
    <w:rsid w:val="0081617C"/>
    <w:rsid w:val="00816DDC"/>
    <w:rsid w:val="00817442"/>
    <w:rsid w:val="008213BA"/>
    <w:rsid w:val="00826329"/>
    <w:rsid w:val="00827038"/>
    <w:rsid w:val="008271D6"/>
    <w:rsid w:val="008272BF"/>
    <w:rsid w:val="008277C2"/>
    <w:rsid w:val="00830B6B"/>
    <w:rsid w:val="00830FF2"/>
    <w:rsid w:val="00831BDD"/>
    <w:rsid w:val="00831C35"/>
    <w:rsid w:val="00831EC1"/>
    <w:rsid w:val="00834D21"/>
    <w:rsid w:val="00835213"/>
    <w:rsid w:val="008375E0"/>
    <w:rsid w:val="008404F6"/>
    <w:rsid w:val="0084090A"/>
    <w:rsid w:val="008428FC"/>
    <w:rsid w:val="00844223"/>
    <w:rsid w:val="008468D2"/>
    <w:rsid w:val="0084693B"/>
    <w:rsid w:val="00850180"/>
    <w:rsid w:val="00850597"/>
    <w:rsid w:val="008531C6"/>
    <w:rsid w:val="008544A9"/>
    <w:rsid w:val="00855B8F"/>
    <w:rsid w:val="00855D0B"/>
    <w:rsid w:val="00857A7D"/>
    <w:rsid w:val="00857F09"/>
    <w:rsid w:val="00861103"/>
    <w:rsid w:val="00862FF0"/>
    <w:rsid w:val="00863DF2"/>
    <w:rsid w:val="0086463A"/>
    <w:rsid w:val="0086534A"/>
    <w:rsid w:val="00866C80"/>
    <w:rsid w:val="00866E64"/>
    <w:rsid w:val="008701A1"/>
    <w:rsid w:val="00870AF6"/>
    <w:rsid w:val="00873096"/>
    <w:rsid w:val="0087337E"/>
    <w:rsid w:val="00874EB8"/>
    <w:rsid w:val="008754D3"/>
    <w:rsid w:val="008774F2"/>
    <w:rsid w:val="00880BC0"/>
    <w:rsid w:val="00881BCD"/>
    <w:rsid w:val="008829DB"/>
    <w:rsid w:val="0088794E"/>
    <w:rsid w:val="00887FF2"/>
    <w:rsid w:val="00892F83"/>
    <w:rsid w:val="008940FD"/>
    <w:rsid w:val="00895F09"/>
    <w:rsid w:val="00896B83"/>
    <w:rsid w:val="008A0DD2"/>
    <w:rsid w:val="008A1569"/>
    <w:rsid w:val="008A19F6"/>
    <w:rsid w:val="008A1EFA"/>
    <w:rsid w:val="008A4120"/>
    <w:rsid w:val="008A5574"/>
    <w:rsid w:val="008A5B7D"/>
    <w:rsid w:val="008A65CC"/>
    <w:rsid w:val="008A7640"/>
    <w:rsid w:val="008B18DC"/>
    <w:rsid w:val="008B2B0B"/>
    <w:rsid w:val="008B36FC"/>
    <w:rsid w:val="008B4547"/>
    <w:rsid w:val="008B4D40"/>
    <w:rsid w:val="008B4F85"/>
    <w:rsid w:val="008B64D7"/>
    <w:rsid w:val="008B6574"/>
    <w:rsid w:val="008B6994"/>
    <w:rsid w:val="008B7063"/>
    <w:rsid w:val="008B7C3C"/>
    <w:rsid w:val="008C0026"/>
    <w:rsid w:val="008C1A10"/>
    <w:rsid w:val="008C3395"/>
    <w:rsid w:val="008C3F87"/>
    <w:rsid w:val="008C43DE"/>
    <w:rsid w:val="008C6086"/>
    <w:rsid w:val="008C63DE"/>
    <w:rsid w:val="008C646C"/>
    <w:rsid w:val="008C712A"/>
    <w:rsid w:val="008D0417"/>
    <w:rsid w:val="008D2766"/>
    <w:rsid w:val="008D319F"/>
    <w:rsid w:val="008D4388"/>
    <w:rsid w:val="008D45AF"/>
    <w:rsid w:val="008D5DBC"/>
    <w:rsid w:val="008D6DAD"/>
    <w:rsid w:val="008E0384"/>
    <w:rsid w:val="008E0EF4"/>
    <w:rsid w:val="008E1615"/>
    <w:rsid w:val="008E27E3"/>
    <w:rsid w:val="008E2CCE"/>
    <w:rsid w:val="008E3D09"/>
    <w:rsid w:val="008E599D"/>
    <w:rsid w:val="008E5AC5"/>
    <w:rsid w:val="008E5CE5"/>
    <w:rsid w:val="008E6654"/>
    <w:rsid w:val="008E68EF"/>
    <w:rsid w:val="008E7668"/>
    <w:rsid w:val="008E7B0B"/>
    <w:rsid w:val="008F0873"/>
    <w:rsid w:val="008F1F72"/>
    <w:rsid w:val="008F3F1B"/>
    <w:rsid w:val="008F546A"/>
    <w:rsid w:val="008F7F51"/>
    <w:rsid w:val="008F7FF0"/>
    <w:rsid w:val="00900621"/>
    <w:rsid w:val="00901797"/>
    <w:rsid w:val="00903147"/>
    <w:rsid w:val="009049EA"/>
    <w:rsid w:val="00907FA6"/>
    <w:rsid w:val="009103D8"/>
    <w:rsid w:val="00911E43"/>
    <w:rsid w:val="00912F5C"/>
    <w:rsid w:val="00913B7C"/>
    <w:rsid w:val="00914008"/>
    <w:rsid w:val="009172D0"/>
    <w:rsid w:val="0092054D"/>
    <w:rsid w:val="009216DB"/>
    <w:rsid w:val="00921A0F"/>
    <w:rsid w:val="0092335E"/>
    <w:rsid w:val="009239E9"/>
    <w:rsid w:val="009240E4"/>
    <w:rsid w:val="00924F42"/>
    <w:rsid w:val="009250A0"/>
    <w:rsid w:val="009257D1"/>
    <w:rsid w:val="0092603E"/>
    <w:rsid w:val="009264C9"/>
    <w:rsid w:val="00926849"/>
    <w:rsid w:val="00926A96"/>
    <w:rsid w:val="00927268"/>
    <w:rsid w:val="00927986"/>
    <w:rsid w:val="00927BCD"/>
    <w:rsid w:val="0093056E"/>
    <w:rsid w:val="00932B34"/>
    <w:rsid w:val="00934254"/>
    <w:rsid w:val="00934843"/>
    <w:rsid w:val="00935B76"/>
    <w:rsid w:val="00936F6B"/>
    <w:rsid w:val="009405DC"/>
    <w:rsid w:val="00941570"/>
    <w:rsid w:val="0094263A"/>
    <w:rsid w:val="00943835"/>
    <w:rsid w:val="00944E53"/>
    <w:rsid w:val="009455DE"/>
    <w:rsid w:val="00946570"/>
    <w:rsid w:val="00946B18"/>
    <w:rsid w:val="00946C02"/>
    <w:rsid w:val="00946F0F"/>
    <w:rsid w:val="00946F97"/>
    <w:rsid w:val="00947452"/>
    <w:rsid w:val="00947CB3"/>
    <w:rsid w:val="00950848"/>
    <w:rsid w:val="009508DC"/>
    <w:rsid w:val="00950EED"/>
    <w:rsid w:val="00951A8A"/>
    <w:rsid w:val="009533A7"/>
    <w:rsid w:val="009535CF"/>
    <w:rsid w:val="00953BEF"/>
    <w:rsid w:val="0095409F"/>
    <w:rsid w:val="00955A91"/>
    <w:rsid w:val="009566BF"/>
    <w:rsid w:val="009569D7"/>
    <w:rsid w:val="00957791"/>
    <w:rsid w:val="0096095F"/>
    <w:rsid w:val="009616F9"/>
    <w:rsid w:val="00961E86"/>
    <w:rsid w:val="009627F9"/>
    <w:rsid w:val="00962D2B"/>
    <w:rsid w:val="009634D9"/>
    <w:rsid w:val="009634DD"/>
    <w:rsid w:val="00964072"/>
    <w:rsid w:val="00967C5E"/>
    <w:rsid w:val="00967CF6"/>
    <w:rsid w:val="00967DB3"/>
    <w:rsid w:val="00970B79"/>
    <w:rsid w:val="0097318A"/>
    <w:rsid w:val="00973FA5"/>
    <w:rsid w:val="00974539"/>
    <w:rsid w:val="00975165"/>
    <w:rsid w:val="00975EA0"/>
    <w:rsid w:val="00976222"/>
    <w:rsid w:val="00980AA7"/>
    <w:rsid w:val="00980F8E"/>
    <w:rsid w:val="00982FB5"/>
    <w:rsid w:val="009837E3"/>
    <w:rsid w:val="00986301"/>
    <w:rsid w:val="00986FBD"/>
    <w:rsid w:val="00986FC8"/>
    <w:rsid w:val="009872C9"/>
    <w:rsid w:val="00990F45"/>
    <w:rsid w:val="009912DF"/>
    <w:rsid w:val="009919CA"/>
    <w:rsid w:val="009950A0"/>
    <w:rsid w:val="009955FB"/>
    <w:rsid w:val="0099598C"/>
    <w:rsid w:val="00996D57"/>
    <w:rsid w:val="009A0ED5"/>
    <w:rsid w:val="009A0F18"/>
    <w:rsid w:val="009A372E"/>
    <w:rsid w:val="009A37E1"/>
    <w:rsid w:val="009A44A3"/>
    <w:rsid w:val="009A47DE"/>
    <w:rsid w:val="009A5D44"/>
    <w:rsid w:val="009A5E84"/>
    <w:rsid w:val="009A6F85"/>
    <w:rsid w:val="009A7F0C"/>
    <w:rsid w:val="009B0767"/>
    <w:rsid w:val="009B17E6"/>
    <w:rsid w:val="009B5336"/>
    <w:rsid w:val="009B6A57"/>
    <w:rsid w:val="009B750E"/>
    <w:rsid w:val="009B7591"/>
    <w:rsid w:val="009C0DC2"/>
    <w:rsid w:val="009C17F9"/>
    <w:rsid w:val="009C4437"/>
    <w:rsid w:val="009C4CDB"/>
    <w:rsid w:val="009C588D"/>
    <w:rsid w:val="009C5C8A"/>
    <w:rsid w:val="009C7A81"/>
    <w:rsid w:val="009D037B"/>
    <w:rsid w:val="009D03DA"/>
    <w:rsid w:val="009D0E5E"/>
    <w:rsid w:val="009D12A3"/>
    <w:rsid w:val="009D153D"/>
    <w:rsid w:val="009D1CCE"/>
    <w:rsid w:val="009D2479"/>
    <w:rsid w:val="009D3580"/>
    <w:rsid w:val="009D3A32"/>
    <w:rsid w:val="009D3C5D"/>
    <w:rsid w:val="009D41D9"/>
    <w:rsid w:val="009D75C1"/>
    <w:rsid w:val="009E20A4"/>
    <w:rsid w:val="009E21C3"/>
    <w:rsid w:val="009E3741"/>
    <w:rsid w:val="009E40B6"/>
    <w:rsid w:val="009E4773"/>
    <w:rsid w:val="009E7011"/>
    <w:rsid w:val="009E738E"/>
    <w:rsid w:val="009E7706"/>
    <w:rsid w:val="009F0E56"/>
    <w:rsid w:val="009F150B"/>
    <w:rsid w:val="009F2A84"/>
    <w:rsid w:val="009F3018"/>
    <w:rsid w:val="009F4231"/>
    <w:rsid w:val="009F4C8C"/>
    <w:rsid w:val="009F5E6A"/>
    <w:rsid w:val="009F67C0"/>
    <w:rsid w:val="00A01388"/>
    <w:rsid w:val="00A0221B"/>
    <w:rsid w:val="00A02A9A"/>
    <w:rsid w:val="00A030FC"/>
    <w:rsid w:val="00A043BA"/>
    <w:rsid w:val="00A0443F"/>
    <w:rsid w:val="00A04D75"/>
    <w:rsid w:val="00A07404"/>
    <w:rsid w:val="00A1081E"/>
    <w:rsid w:val="00A10B77"/>
    <w:rsid w:val="00A10DA2"/>
    <w:rsid w:val="00A114BF"/>
    <w:rsid w:val="00A12393"/>
    <w:rsid w:val="00A13305"/>
    <w:rsid w:val="00A136EE"/>
    <w:rsid w:val="00A1597C"/>
    <w:rsid w:val="00A15B34"/>
    <w:rsid w:val="00A20D8F"/>
    <w:rsid w:val="00A20EAF"/>
    <w:rsid w:val="00A21431"/>
    <w:rsid w:val="00A215B5"/>
    <w:rsid w:val="00A23163"/>
    <w:rsid w:val="00A232D9"/>
    <w:rsid w:val="00A2480C"/>
    <w:rsid w:val="00A25BF2"/>
    <w:rsid w:val="00A2630E"/>
    <w:rsid w:val="00A26530"/>
    <w:rsid w:val="00A274F6"/>
    <w:rsid w:val="00A3042F"/>
    <w:rsid w:val="00A309DF"/>
    <w:rsid w:val="00A32D98"/>
    <w:rsid w:val="00A331C2"/>
    <w:rsid w:val="00A334E7"/>
    <w:rsid w:val="00A350C0"/>
    <w:rsid w:val="00A35331"/>
    <w:rsid w:val="00A36C54"/>
    <w:rsid w:val="00A3733F"/>
    <w:rsid w:val="00A4430E"/>
    <w:rsid w:val="00A4461E"/>
    <w:rsid w:val="00A44982"/>
    <w:rsid w:val="00A44A6B"/>
    <w:rsid w:val="00A4567B"/>
    <w:rsid w:val="00A46379"/>
    <w:rsid w:val="00A467B0"/>
    <w:rsid w:val="00A50780"/>
    <w:rsid w:val="00A507C4"/>
    <w:rsid w:val="00A51C0A"/>
    <w:rsid w:val="00A53F25"/>
    <w:rsid w:val="00A54EEA"/>
    <w:rsid w:val="00A5535B"/>
    <w:rsid w:val="00A56BD2"/>
    <w:rsid w:val="00A57912"/>
    <w:rsid w:val="00A609B8"/>
    <w:rsid w:val="00A6144B"/>
    <w:rsid w:val="00A644F2"/>
    <w:rsid w:val="00A64AC5"/>
    <w:rsid w:val="00A66667"/>
    <w:rsid w:val="00A703E9"/>
    <w:rsid w:val="00A70C21"/>
    <w:rsid w:val="00A718FF"/>
    <w:rsid w:val="00A71A63"/>
    <w:rsid w:val="00A71BA2"/>
    <w:rsid w:val="00A71BC5"/>
    <w:rsid w:val="00A726BB"/>
    <w:rsid w:val="00A739F3"/>
    <w:rsid w:val="00A7484F"/>
    <w:rsid w:val="00A76746"/>
    <w:rsid w:val="00A76914"/>
    <w:rsid w:val="00A77248"/>
    <w:rsid w:val="00A8111B"/>
    <w:rsid w:val="00A81202"/>
    <w:rsid w:val="00A82157"/>
    <w:rsid w:val="00A83184"/>
    <w:rsid w:val="00A83C49"/>
    <w:rsid w:val="00A83C9C"/>
    <w:rsid w:val="00A84356"/>
    <w:rsid w:val="00A8499E"/>
    <w:rsid w:val="00A85B20"/>
    <w:rsid w:val="00A85FF6"/>
    <w:rsid w:val="00A87A0F"/>
    <w:rsid w:val="00A90B94"/>
    <w:rsid w:val="00A934A5"/>
    <w:rsid w:val="00A9410A"/>
    <w:rsid w:val="00A941F2"/>
    <w:rsid w:val="00A949F7"/>
    <w:rsid w:val="00A95D44"/>
    <w:rsid w:val="00AA05B6"/>
    <w:rsid w:val="00AA1B68"/>
    <w:rsid w:val="00AA32D3"/>
    <w:rsid w:val="00AA4DE9"/>
    <w:rsid w:val="00AA6C14"/>
    <w:rsid w:val="00AA7C69"/>
    <w:rsid w:val="00AB113B"/>
    <w:rsid w:val="00AB13E7"/>
    <w:rsid w:val="00AB254D"/>
    <w:rsid w:val="00AB26CA"/>
    <w:rsid w:val="00AB288E"/>
    <w:rsid w:val="00AB2C4A"/>
    <w:rsid w:val="00AB3310"/>
    <w:rsid w:val="00AB3D70"/>
    <w:rsid w:val="00AB4593"/>
    <w:rsid w:val="00AB58BD"/>
    <w:rsid w:val="00AB7354"/>
    <w:rsid w:val="00AC0075"/>
    <w:rsid w:val="00AC169A"/>
    <w:rsid w:val="00AC2E33"/>
    <w:rsid w:val="00AC344D"/>
    <w:rsid w:val="00AC43C8"/>
    <w:rsid w:val="00AC5669"/>
    <w:rsid w:val="00AC5D63"/>
    <w:rsid w:val="00AC6C28"/>
    <w:rsid w:val="00AC7454"/>
    <w:rsid w:val="00AD0EC3"/>
    <w:rsid w:val="00AD1529"/>
    <w:rsid w:val="00AD1B1E"/>
    <w:rsid w:val="00AD2B90"/>
    <w:rsid w:val="00AD42F2"/>
    <w:rsid w:val="00AD470C"/>
    <w:rsid w:val="00AD4D12"/>
    <w:rsid w:val="00AD5D18"/>
    <w:rsid w:val="00AD7AD1"/>
    <w:rsid w:val="00AE077C"/>
    <w:rsid w:val="00AE166E"/>
    <w:rsid w:val="00AE1CFA"/>
    <w:rsid w:val="00AE290A"/>
    <w:rsid w:val="00AE34F5"/>
    <w:rsid w:val="00AE4B1C"/>
    <w:rsid w:val="00AE5F4A"/>
    <w:rsid w:val="00AE6C7B"/>
    <w:rsid w:val="00AE7807"/>
    <w:rsid w:val="00AF14C4"/>
    <w:rsid w:val="00AF62A1"/>
    <w:rsid w:val="00AF7F2D"/>
    <w:rsid w:val="00B00700"/>
    <w:rsid w:val="00B01514"/>
    <w:rsid w:val="00B01EA9"/>
    <w:rsid w:val="00B03FF7"/>
    <w:rsid w:val="00B0607F"/>
    <w:rsid w:val="00B06F6B"/>
    <w:rsid w:val="00B07AC1"/>
    <w:rsid w:val="00B07C56"/>
    <w:rsid w:val="00B10471"/>
    <w:rsid w:val="00B10C27"/>
    <w:rsid w:val="00B1169A"/>
    <w:rsid w:val="00B11FE0"/>
    <w:rsid w:val="00B13206"/>
    <w:rsid w:val="00B13D8D"/>
    <w:rsid w:val="00B149C9"/>
    <w:rsid w:val="00B16998"/>
    <w:rsid w:val="00B16C06"/>
    <w:rsid w:val="00B1775B"/>
    <w:rsid w:val="00B17807"/>
    <w:rsid w:val="00B17C29"/>
    <w:rsid w:val="00B20138"/>
    <w:rsid w:val="00B21D71"/>
    <w:rsid w:val="00B245CC"/>
    <w:rsid w:val="00B25282"/>
    <w:rsid w:val="00B25438"/>
    <w:rsid w:val="00B25B2D"/>
    <w:rsid w:val="00B26B6E"/>
    <w:rsid w:val="00B272C1"/>
    <w:rsid w:val="00B302BE"/>
    <w:rsid w:val="00B30AE2"/>
    <w:rsid w:val="00B31040"/>
    <w:rsid w:val="00B313D3"/>
    <w:rsid w:val="00B32B20"/>
    <w:rsid w:val="00B333EA"/>
    <w:rsid w:val="00B33B6F"/>
    <w:rsid w:val="00B33E8F"/>
    <w:rsid w:val="00B3513F"/>
    <w:rsid w:val="00B35A02"/>
    <w:rsid w:val="00B35A34"/>
    <w:rsid w:val="00B35ED1"/>
    <w:rsid w:val="00B43177"/>
    <w:rsid w:val="00B43775"/>
    <w:rsid w:val="00B43D64"/>
    <w:rsid w:val="00B44443"/>
    <w:rsid w:val="00B44CC3"/>
    <w:rsid w:val="00B45807"/>
    <w:rsid w:val="00B47C13"/>
    <w:rsid w:val="00B5039B"/>
    <w:rsid w:val="00B50644"/>
    <w:rsid w:val="00B511A8"/>
    <w:rsid w:val="00B51CDB"/>
    <w:rsid w:val="00B52CCA"/>
    <w:rsid w:val="00B54FEC"/>
    <w:rsid w:val="00B56915"/>
    <w:rsid w:val="00B575A6"/>
    <w:rsid w:val="00B57998"/>
    <w:rsid w:val="00B6127E"/>
    <w:rsid w:val="00B61A3B"/>
    <w:rsid w:val="00B62D5F"/>
    <w:rsid w:val="00B67B5B"/>
    <w:rsid w:val="00B715CE"/>
    <w:rsid w:val="00B71B37"/>
    <w:rsid w:val="00B72259"/>
    <w:rsid w:val="00B724B2"/>
    <w:rsid w:val="00B73D9E"/>
    <w:rsid w:val="00B73F29"/>
    <w:rsid w:val="00B751D8"/>
    <w:rsid w:val="00B800C1"/>
    <w:rsid w:val="00B80103"/>
    <w:rsid w:val="00B8040E"/>
    <w:rsid w:val="00B81DA7"/>
    <w:rsid w:val="00B8330F"/>
    <w:rsid w:val="00B834C8"/>
    <w:rsid w:val="00B840FF"/>
    <w:rsid w:val="00B84130"/>
    <w:rsid w:val="00B8436A"/>
    <w:rsid w:val="00B84A4D"/>
    <w:rsid w:val="00B858AC"/>
    <w:rsid w:val="00B85BE2"/>
    <w:rsid w:val="00B85EB0"/>
    <w:rsid w:val="00B86045"/>
    <w:rsid w:val="00B8728B"/>
    <w:rsid w:val="00B876A5"/>
    <w:rsid w:val="00B9059A"/>
    <w:rsid w:val="00B90758"/>
    <w:rsid w:val="00B917C0"/>
    <w:rsid w:val="00B9198B"/>
    <w:rsid w:val="00B919CD"/>
    <w:rsid w:val="00B91A6A"/>
    <w:rsid w:val="00B9205F"/>
    <w:rsid w:val="00B94420"/>
    <w:rsid w:val="00B959CC"/>
    <w:rsid w:val="00B968CF"/>
    <w:rsid w:val="00B9709C"/>
    <w:rsid w:val="00B97C3A"/>
    <w:rsid w:val="00BA0DC4"/>
    <w:rsid w:val="00BA3F50"/>
    <w:rsid w:val="00BA40C2"/>
    <w:rsid w:val="00BA41EB"/>
    <w:rsid w:val="00BA45DF"/>
    <w:rsid w:val="00BA4E36"/>
    <w:rsid w:val="00BA5039"/>
    <w:rsid w:val="00BA5065"/>
    <w:rsid w:val="00BA5799"/>
    <w:rsid w:val="00BA5AED"/>
    <w:rsid w:val="00BA605F"/>
    <w:rsid w:val="00BA6DFC"/>
    <w:rsid w:val="00BA7BAD"/>
    <w:rsid w:val="00BA7D60"/>
    <w:rsid w:val="00BB132A"/>
    <w:rsid w:val="00BB318E"/>
    <w:rsid w:val="00BB31D5"/>
    <w:rsid w:val="00BB3A9A"/>
    <w:rsid w:val="00BB3F45"/>
    <w:rsid w:val="00BB4970"/>
    <w:rsid w:val="00BB4EE4"/>
    <w:rsid w:val="00BB545D"/>
    <w:rsid w:val="00BB5614"/>
    <w:rsid w:val="00BB7819"/>
    <w:rsid w:val="00BB7A97"/>
    <w:rsid w:val="00BB7D9C"/>
    <w:rsid w:val="00BC1137"/>
    <w:rsid w:val="00BC3693"/>
    <w:rsid w:val="00BC45AF"/>
    <w:rsid w:val="00BC5304"/>
    <w:rsid w:val="00BC5EE1"/>
    <w:rsid w:val="00BC609B"/>
    <w:rsid w:val="00BC6441"/>
    <w:rsid w:val="00BC6D4B"/>
    <w:rsid w:val="00BD1836"/>
    <w:rsid w:val="00BD2565"/>
    <w:rsid w:val="00BD28E8"/>
    <w:rsid w:val="00BD2CE3"/>
    <w:rsid w:val="00BD323F"/>
    <w:rsid w:val="00BD3625"/>
    <w:rsid w:val="00BD45B8"/>
    <w:rsid w:val="00BD4876"/>
    <w:rsid w:val="00BD4C79"/>
    <w:rsid w:val="00BD4EE1"/>
    <w:rsid w:val="00BD6F47"/>
    <w:rsid w:val="00BD7A7A"/>
    <w:rsid w:val="00BD7BE9"/>
    <w:rsid w:val="00BD7D81"/>
    <w:rsid w:val="00BE1D66"/>
    <w:rsid w:val="00BE2C66"/>
    <w:rsid w:val="00BE2DC8"/>
    <w:rsid w:val="00BE36B2"/>
    <w:rsid w:val="00BE3AE2"/>
    <w:rsid w:val="00BE3C9A"/>
    <w:rsid w:val="00BE5189"/>
    <w:rsid w:val="00BE724C"/>
    <w:rsid w:val="00BF00F1"/>
    <w:rsid w:val="00BF0CFC"/>
    <w:rsid w:val="00BF2473"/>
    <w:rsid w:val="00BF28AA"/>
    <w:rsid w:val="00BF2D65"/>
    <w:rsid w:val="00BF2F1B"/>
    <w:rsid w:val="00BF4068"/>
    <w:rsid w:val="00BF4710"/>
    <w:rsid w:val="00BF4ACD"/>
    <w:rsid w:val="00BF4C75"/>
    <w:rsid w:val="00BF59D1"/>
    <w:rsid w:val="00BF6805"/>
    <w:rsid w:val="00BF74AF"/>
    <w:rsid w:val="00BF796F"/>
    <w:rsid w:val="00BF7F20"/>
    <w:rsid w:val="00C007AE"/>
    <w:rsid w:val="00C00A07"/>
    <w:rsid w:val="00C01D82"/>
    <w:rsid w:val="00C02582"/>
    <w:rsid w:val="00C035C3"/>
    <w:rsid w:val="00C037D8"/>
    <w:rsid w:val="00C043C8"/>
    <w:rsid w:val="00C04A8B"/>
    <w:rsid w:val="00C060CE"/>
    <w:rsid w:val="00C06304"/>
    <w:rsid w:val="00C069DA"/>
    <w:rsid w:val="00C06B23"/>
    <w:rsid w:val="00C10C8A"/>
    <w:rsid w:val="00C10EE5"/>
    <w:rsid w:val="00C1179C"/>
    <w:rsid w:val="00C1211A"/>
    <w:rsid w:val="00C12541"/>
    <w:rsid w:val="00C12905"/>
    <w:rsid w:val="00C130DA"/>
    <w:rsid w:val="00C17D33"/>
    <w:rsid w:val="00C209D1"/>
    <w:rsid w:val="00C20F3C"/>
    <w:rsid w:val="00C2147B"/>
    <w:rsid w:val="00C236B4"/>
    <w:rsid w:val="00C23FF2"/>
    <w:rsid w:val="00C24136"/>
    <w:rsid w:val="00C26CD6"/>
    <w:rsid w:val="00C273F6"/>
    <w:rsid w:val="00C30195"/>
    <w:rsid w:val="00C31829"/>
    <w:rsid w:val="00C32B5B"/>
    <w:rsid w:val="00C333D2"/>
    <w:rsid w:val="00C35099"/>
    <w:rsid w:val="00C3546B"/>
    <w:rsid w:val="00C42DC1"/>
    <w:rsid w:val="00C440F6"/>
    <w:rsid w:val="00C469C4"/>
    <w:rsid w:val="00C46C96"/>
    <w:rsid w:val="00C503B5"/>
    <w:rsid w:val="00C51CA8"/>
    <w:rsid w:val="00C52306"/>
    <w:rsid w:val="00C52819"/>
    <w:rsid w:val="00C5305C"/>
    <w:rsid w:val="00C538D2"/>
    <w:rsid w:val="00C566AD"/>
    <w:rsid w:val="00C57B6A"/>
    <w:rsid w:val="00C61BDF"/>
    <w:rsid w:val="00C63948"/>
    <w:rsid w:val="00C645DA"/>
    <w:rsid w:val="00C64CC6"/>
    <w:rsid w:val="00C6728F"/>
    <w:rsid w:val="00C70AD3"/>
    <w:rsid w:val="00C70E69"/>
    <w:rsid w:val="00C714C9"/>
    <w:rsid w:val="00C7251F"/>
    <w:rsid w:val="00C738E1"/>
    <w:rsid w:val="00C7400B"/>
    <w:rsid w:val="00C74E1F"/>
    <w:rsid w:val="00C759E4"/>
    <w:rsid w:val="00C77203"/>
    <w:rsid w:val="00C8049A"/>
    <w:rsid w:val="00C81609"/>
    <w:rsid w:val="00C818C2"/>
    <w:rsid w:val="00C820BD"/>
    <w:rsid w:val="00C82385"/>
    <w:rsid w:val="00C82FB7"/>
    <w:rsid w:val="00C83598"/>
    <w:rsid w:val="00C84DD1"/>
    <w:rsid w:val="00C9029C"/>
    <w:rsid w:val="00C90464"/>
    <w:rsid w:val="00C91FF1"/>
    <w:rsid w:val="00CA103A"/>
    <w:rsid w:val="00CA20E7"/>
    <w:rsid w:val="00CA308D"/>
    <w:rsid w:val="00CA340D"/>
    <w:rsid w:val="00CA4799"/>
    <w:rsid w:val="00CA5082"/>
    <w:rsid w:val="00CA5133"/>
    <w:rsid w:val="00CA631E"/>
    <w:rsid w:val="00CA69AA"/>
    <w:rsid w:val="00CA6A58"/>
    <w:rsid w:val="00CA7D6B"/>
    <w:rsid w:val="00CB0A80"/>
    <w:rsid w:val="00CB0B40"/>
    <w:rsid w:val="00CB1779"/>
    <w:rsid w:val="00CB36CD"/>
    <w:rsid w:val="00CB430E"/>
    <w:rsid w:val="00CB4D48"/>
    <w:rsid w:val="00CB69FE"/>
    <w:rsid w:val="00CB7C5B"/>
    <w:rsid w:val="00CB7F15"/>
    <w:rsid w:val="00CB7F83"/>
    <w:rsid w:val="00CC075F"/>
    <w:rsid w:val="00CC07FC"/>
    <w:rsid w:val="00CC1A5E"/>
    <w:rsid w:val="00CC204D"/>
    <w:rsid w:val="00CC24E9"/>
    <w:rsid w:val="00CC275B"/>
    <w:rsid w:val="00CC38FA"/>
    <w:rsid w:val="00CC390F"/>
    <w:rsid w:val="00CC3AA4"/>
    <w:rsid w:val="00CC6618"/>
    <w:rsid w:val="00CC6825"/>
    <w:rsid w:val="00CC78F0"/>
    <w:rsid w:val="00CD0D88"/>
    <w:rsid w:val="00CD0E96"/>
    <w:rsid w:val="00CD244C"/>
    <w:rsid w:val="00CD265B"/>
    <w:rsid w:val="00CD429F"/>
    <w:rsid w:val="00CD50DD"/>
    <w:rsid w:val="00CD6548"/>
    <w:rsid w:val="00CD70E8"/>
    <w:rsid w:val="00CD742E"/>
    <w:rsid w:val="00CD7825"/>
    <w:rsid w:val="00CE0658"/>
    <w:rsid w:val="00CE11B1"/>
    <w:rsid w:val="00CE2C59"/>
    <w:rsid w:val="00CE2E54"/>
    <w:rsid w:val="00CE5674"/>
    <w:rsid w:val="00CE5B18"/>
    <w:rsid w:val="00CE6F96"/>
    <w:rsid w:val="00CE783D"/>
    <w:rsid w:val="00CE7D4A"/>
    <w:rsid w:val="00CF04FA"/>
    <w:rsid w:val="00CF05B1"/>
    <w:rsid w:val="00CF0D78"/>
    <w:rsid w:val="00CF3614"/>
    <w:rsid w:val="00CF4218"/>
    <w:rsid w:val="00CF60C4"/>
    <w:rsid w:val="00CF7FB3"/>
    <w:rsid w:val="00D01156"/>
    <w:rsid w:val="00D0254C"/>
    <w:rsid w:val="00D038C1"/>
    <w:rsid w:val="00D043C5"/>
    <w:rsid w:val="00D05538"/>
    <w:rsid w:val="00D056E9"/>
    <w:rsid w:val="00D07C0E"/>
    <w:rsid w:val="00D11EB9"/>
    <w:rsid w:val="00D137E0"/>
    <w:rsid w:val="00D139A3"/>
    <w:rsid w:val="00D14AB5"/>
    <w:rsid w:val="00D14E07"/>
    <w:rsid w:val="00D163E7"/>
    <w:rsid w:val="00D176D3"/>
    <w:rsid w:val="00D207F8"/>
    <w:rsid w:val="00D20B6B"/>
    <w:rsid w:val="00D212A1"/>
    <w:rsid w:val="00D2182E"/>
    <w:rsid w:val="00D221C4"/>
    <w:rsid w:val="00D244EC"/>
    <w:rsid w:val="00D24516"/>
    <w:rsid w:val="00D25055"/>
    <w:rsid w:val="00D252BC"/>
    <w:rsid w:val="00D25B2F"/>
    <w:rsid w:val="00D2715E"/>
    <w:rsid w:val="00D27543"/>
    <w:rsid w:val="00D32413"/>
    <w:rsid w:val="00D333C4"/>
    <w:rsid w:val="00D33B7B"/>
    <w:rsid w:val="00D36385"/>
    <w:rsid w:val="00D364EA"/>
    <w:rsid w:val="00D37065"/>
    <w:rsid w:val="00D41523"/>
    <w:rsid w:val="00D43254"/>
    <w:rsid w:val="00D43578"/>
    <w:rsid w:val="00D4370C"/>
    <w:rsid w:val="00D437AD"/>
    <w:rsid w:val="00D46E78"/>
    <w:rsid w:val="00D479CB"/>
    <w:rsid w:val="00D515EC"/>
    <w:rsid w:val="00D53410"/>
    <w:rsid w:val="00D544C9"/>
    <w:rsid w:val="00D5461F"/>
    <w:rsid w:val="00D558C2"/>
    <w:rsid w:val="00D56576"/>
    <w:rsid w:val="00D56C7D"/>
    <w:rsid w:val="00D57E99"/>
    <w:rsid w:val="00D60B04"/>
    <w:rsid w:val="00D60DA2"/>
    <w:rsid w:val="00D61218"/>
    <w:rsid w:val="00D61365"/>
    <w:rsid w:val="00D63182"/>
    <w:rsid w:val="00D631E2"/>
    <w:rsid w:val="00D64582"/>
    <w:rsid w:val="00D65008"/>
    <w:rsid w:val="00D654B8"/>
    <w:rsid w:val="00D65E15"/>
    <w:rsid w:val="00D661B9"/>
    <w:rsid w:val="00D705AC"/>
    <w:rsid w:val="00D726BC"/>
    <w:rsid w:val="00D72E60"/>
    <w:rsid w:val="00D73275"/>
    <w:rsid w:val="00D73AD0"/>
    <w:rsid w:val="00D73C96"/>
    <w:rsid w:val="00D74EB5"/>
    <w:rsid w:val="00D75928"/>
    <w:rsid w:val="00D76B1C"/>
    <w:rsid w:val="00D76EAE"/>
    <w:rsid w:val="00D77039"/>
    <w:rsid w:val="00D82FD3"/>
    <w:rsid w:val="00D831E1"/>
    <w:rsid w:val="00D85A94"/>
    <w:rsid w:val="00D85EDA"/>
    <w:rsid w:val="00D86651"/>
    <w:rsid w:val="00D86BDF"/>
    <w:rsid w:val="00D86D2F"/>
    <w:rsid w:val="00D8709D"/>
    <w:rsid w:val="00D9283A"/>
    <w:rsid w:val="00D93FC9"/>
    <w:rsid w:val="00D94CCE"/>
    <w:rsid w:val="00DA00B6"/>
    <w:rsid w:val="00DA22A3"/>
    <w:rsid w:val="00DA2AF9"/>
    <w:rsid w:val="00DA37D0"/>
    <w:rsid w:val="00DA388A"/>
    <w:rsid w:val="00DA3C9D"/>
    <w:rsid w:val="00DA3CDA"/>
    <w:rsid w:val="00DA4312"/>
    <w:rsid w:val="00DA459A"/>
    <w:rsid w:val="00DA5DCD"/>
    <w:rsid w:val="00DA69E5"/>
    <w:rsid w:val="00DA6D82"/>
    <w:rsid w:val="00DB0955"/>
    <w:rsid w:val="00DB1604"/>
    <w:rsid w:val="00DB612D"/>
    <w:rsid w:val="00DB6547"/>
    <w:rsid w:val="00DB79CF"/>
    <w:rsid w:val="00DC0188"/>
    <w:rsid w:val="00DC0621"/>
    <w:rsid w:val="00DC31A9"/>
    <w:rsid w:val="00DC33E2"/>
    <w:rsid w:val="00DC3546"/>
    <w:rsid w:val="00DC39D7"/>
    <w:rsid w:val="00DC41F6"/>
    <w:rsid w:val="00DC5A52"/>
    <w:rsid w:val="00DC6E39"/>
    <w:rsid w:val="00DC7395"/>
    <w:rsid w:val="00DC7A5F"/>
    <w:rsid w:val="00DD2EAE"/>
    <w:rsid w:val="00DD3201"/>
    <w:rsid w:val="00DD3DE9"/>
    <w:rsid w:val="00DD4DC8"/>
    <w:rsid w:val="00DD5926"/>
    <w:rsid w:val="00DD79E0"/>
    <w:rsid w:val="00DE1DA6"/>
    <w:rsid w:val="00DE321E"/>
    <w:rsid w:val="00DE33F6"/>
    <w:rsid w:val="00DE444C"/>
    <w:rsid w:val="00DE4F24"/>
    <w:rsid w:val="00DE4F8E"/>
    <w:rsid w:val="00DE5F15"/>
    <w:rsid w:val="00DE738E"/>
    <w:rsid w:val="00DE767F"/>
    <w:rsid w:val="00DE7B4A"/>
    <w:rsid w:val="00DF00A2"/>
    <w:rsid w:val="00DF01B7"/>
    <w:rsid w:val="00DF048F"/>
    <w:rsid w:val="00DF0525"/>
    <w:rsid w:val="00DF1E9B"/>
    <w:rsid w:val="00DF4264"/>
    <w:rsid w:val="00DF45A3"/>
    <w:rsid w:val="00DF5A95"/>
    <w:rsid w:val="00DF74AA"/>
    <w:rsid w:val="00E00ABD"/>
    <w:rsid w:val="00E02579"/>
    <w:rsid w:val="00E02680"/>
    <w:rsid w:val="00E03EC2"/>
    <w:rsid w:val="00E04682"/>
    <w:rsid w:val="00E057E7"/>
    <w:rsid w:val="00E0585E"/>
    <w:rsid w:val="00E05B61"/>
    <w:rsid w:val="00E07B50"/>
    <w:rsid w:val="00E1086C"/>
    <w:rsid w:val="00E10B6E"/>
    <w:rsid w:val="00E111DF"/>
    <w:rsid w:val="00E11D88"/>
    <w:rsid w:val="00E1320E"/>
    <w:rsid w:val="00E13AA5"/>
    <w:rsid w:val="00E14F3A"/>
    <w:rsid w:val="00E15FA8"/>
    <w:rsid w:val="00E17CE1"/>
    <w:rsid w:val="00E2068E"/>
    <w:rsid w:val="00E20A9C"/>
    <w:rsid w:val="00E264B3"/>
    <w:rsid w:val="00E26577"/>
    <w:rsid w:val="00E300B3"/>
    <w:rsid w:val="00E30A9F"/>
    <w:rsid w:val="00E3167B"/>
    <w:rsid w:val="00E31721"/>
    <w:rsid w:val="00E34DA5"/>
    <w:rsid w:val="00E3500E"/>
    <w:rsid w:val="00E35FE1"/>
    <w:rsid w:val="00E36587"/>
    <w:rsid w:val="00E36C29"/>
    <w:rsid w:val="00E40B9B"/>
    <w:rsid w:val="00E41260"/>
    <w:rsid w:val="00E41B27"/>
    <w:rsid w:val="00E428C9"/>
    <w:rsid w:val="00E43BAC"/>
    <w:rsid w:val="00E43CE4"/>
    <w:rsid w:val="00E4424B"/>
    <w:rsid w:val="00E44AB7"/>
    <w:rsid w:val="00E45561"/>
    <w:rsid w:val="00E45807"/>
    <w:rsid w:val="00E460CA"/>
    <w:rsid w:val="00E46BD5"/>
    <w:rsid w:val="00E46EF2"/>
    <w:rsid w:val="00E511D0"/>
    <w:rsid w:val="00E528E6"/>
    <w:rsid w:val="00E52A8B"/>
    <w:rsid w:val="00E53F17"/>
    <w:rsid w:val="00E55207"/>
    <w:rsid w:val="00E56328"/>
    <w:rsid w:val="00E56B4C"/>
    <w:rsid w:val="00E56FC9"/>
    <w:rsid w:val="00E61510"/>
    <w:rsid w:val="00E621AB"/>
    <w:rsid w:val="00E62CB1"/>
    <w:rsid w:val="00E63416"/>
    <w:rsid w:val="00E63D8E"/>
    <w:rsid w:val="00E64145"/>
    <w:rsid w:val="00E64B26"/>
    <w:rsid w:val="00E652CF"/>
    <w:rsid w:val="00E65841"/>
    <w:rsid w:val="00E666B6"/>
    <w:rsid w:val="00E71D9F"/>
    <w:rsid w:val="00E7278D"/>
    <w:rsid w:val="00E734D2"/>
    <w:rsid w:val="00E7410F"/>
    <w:rsid w:val="00E75691"/>
    <w:rsid w:val="00E80CDC"/>
    <w:rsid w:val="00E8380B"/>
    <w:rsid w:val="00E83F85"/>
    <w:rsid w:val="00E84B67"/>
    <w:rsid w:val="00E84BCC"/>
    <w:rsid w:val="00E84F2F"/>
    <w:rsid w:val="00E8508C"/>
    <w:rsid w:val="00E85E62"/>
    <w:rsid w:val="00E863CB"/>
    <w:rsid w:val="00E86435"/>
    <w:rsid w:val="00E86DE3"/>
    <w:rsid w:val="00E87BB0"/>
    <w:rsid w:val="00E903C5"/>
    <w:rsid w:val="00E9046D"/>
    <w:rsid w:val="00E90D1C"/>
    <w:rsid w:val="00E92A7F"/>
    <w:rsid w:val="00E96B42"/>
    <w:rsid w:val="00E97398"/>
    <w:rsid w:val="00EA130D"/>
    <w:rsid w:val="00EA1ECC"/>
    <w:rsid w:val="00EA2264"/>
    <w:rsid w:val="00EA23A1"/>
    <w:rsid w:val="00EA2F00"/>
    <w:rsid w:val="00EA4189"/>
    <w:rsid w:val="00EA53A3"/>
    <w:rsid w:val="00EA6F2E"/>
    <w:rsid w:val="00EB0630"/>
    <w:rsid w:val="00EB217F"/>
    <w:rsid w:val="00EB2F22"/>
    <w:rsid w:val="00EB3356"/>
    <w:rsid w:val="00EB3E17"/>
    <w:rsid w:val="00EB71D0"/>
    <w:rsid w:val="00EB796D"/>
    <w:rsid w:val="00EC023F"/>
    <w:rsid w:val="00EC0650"/>
    <w:rsid w:val="00EC0804"/>
    <w:rsid w:val="00EC0974"/>
    <w:rsid w:val="00EC1205"/>
    <w:rsid w:val="00EC1299"/>
    <w:rsid w:val="00EC3347"/>
    <w:rsid w:val="00EC5595"/>
    <w:rsid w:val="00EC5B09"/>
    <w:rsid w:val="00EC62AE"/>
    <w:rsid w:val="00EC64AE"/>
    <w:rsid w:val="00EC660C"/>
    <w:rsid w:val="00EC6646"/>
    <w:rsid w:val="00ED04F9"/>
    <w:rsid w:val="00ED0AD1"/>
    <w:rsid w:val="00ED0CAF"/>
    <w:rsid w:val="00ED1651"/>
    <w:rsid w:val="00ED4740"/>
    <w:rsid w:val="00ED61D3"/>
    <w:rsid w:val="00ED6AEA"/>
    <w:rsid w:val="00ED7485"/>
    <w:rsid w:val="00ED7961"/>
    <w:rsid w:val="00ED7B9F"/>
    <w:rsid w:val="00EE002D"/>
    <w:rsid w:val="00EE0953"/>
    <w:rsid w:val="00EE3BD9"/>
    <w:rsid w:val="00EE4547"/>
    <w:rsid w:val="00EE6248"/>
    <w:rsid w:val="00EE67BC"/>
    <w:rsid w:val="00EE6D37"/>
    <w:rsid w:val="00EE7BFF"/>
    <w:rsid w:val="00EF00C5"/>
    <w:rsid w:val="00EF0F76"/>
    <w:rsid w:val="00EF1382"/>
    <w:rsid w:val="00EF16DB"/>
    <w:rsid w:val="00EF1F99"/>
    <w:rsid w:val="00EF2102"/>
    <w:rsid w:val="00EF4A61"/>
    <w:rsid w:val="00EF5011"/>
    <w:rsid w:val="00EF5572"/>
    <w:rsid w:val="00EF55D2"/>
    <w:rsid w:val="00EF5ABA"/>
    <w:rsid w:val="00EF6C72"/>
    <w:rsid w:val="00EF72E9"/>
    <w:rsid w:val="00EF7804"/>
    <w:rsid w:val="00F0001E"/>
    <w:rsid w:val="00F01043"/>
    <w:rsid w:val="00F04AA1"/>
    <w:rsid w:val="00F05570"/>
    <w:rsid w:val="00F05B16"/>
    <w:rsid w:val="00F06CB4"/>
    <w:rsid w:val="00F06F10"/>
    <w:rsid w:val="00F07AE1"/>
    <w:rsid w:val="00F100CC"/>
    <w:rsid w:val="00F10487"/>
    <w:rsid w:val="00F11DC2"/>
    <w:rsid w:val="00F12FAF"/>
    <w:rsid w:val="00F1399D"/>
    <w:rsid w:val="00F13C85"/>
    <w:rsid w:val="00F140E5"/>
    <w:rsid w:val="00F151BC"/>
    <w:rsid w:val="00F15B22"/>
    <w:rsid w:val="00F15ED7"/>
    <w:rsid w:val="00F15F87"/>
    <w:rsid w:val="00F15FC2"/>
    <w:rsid w:val="00F162DE"/>
    <w:rsid w:val="00F169D6"/>
    <w:rsid w:val="00F17149"/>
    <w:rsid w:val="00F177CB"/>
    <w:rsid w:val="00F22D1E"/>
    <w:rsid w:val="00F23721"/>
    <w:rsid w:val="00F24455"/>
    <w:rsid w:val="00F251BE"/>
    <w:rsid w:val="00F2526B"/>
    <w:rsid w:val="00F2535E"/>
    <w:rsid w:val="00F269F4"/>
    <w:rsid w:val="00F26E2A"/>
    <w:rsid w:val="00F27E30"/>
    <w:rsid w:val="00F3022A"/>
    <w:rsid w:val="00F303B8"/>
    <w:rsid w:val="00F305B5"/>
    <w:rsid w:val="00F30911"/>
    <w:rsid w:val="00F30FB0"/>
    <w:rsid w:val="00F3203B"/>
    <w:rsid w:val="00F35D86"/>
    <w:rsid w:val="00F36135"/>
    <w:rsid w:val="00F36F4F"/>
    <w:rsid w:val="00F37019"/>
    <w:rsid w:val="00F3720D"/>
    <w:rsid w:val="00F37973"/>
    <w:rsid w:val="00F402BB"/>
    <w:rsid w:val="00F406F4"/>
    <w:rsid w:val="00F41816"/>
    <w:rsid w:val="00F439D5"/>
    <w:rsid w:val="00F44B8D"/>
    <w:rsid w:val="00F44B98"/>
    <w:rsid w:val="00F450A5"/>
    <w:rsid w:val="00F45900"/>
    <w:rsid w:val="00F4598B"/>
    <w:rsid w:val="00F462F1"/>
    <w:rsid w:val="00F479C2"/>
    <w:rsid w:val="00F5150D"/>
    <w:rsid w:val="00F528E3"/>
    <w:rsid w:val="00F53800"/>
    <w:rsid w:val="00F53B41"/>
    <w:rsid w:val="00F55A8F"/>
    <w:rsid w:val="00F5681E"/>
    <w:rsid w:val="00F60B77"/>
    <w:rsid w:val="00F614BB"/>
    <w:rsid w:val="00F65829"/>
    <w:rsid w:val="00F65B5E"/>
    <w:rsid w:val="00F66946"/>
    <w:rsid w:val="00F66BBB"/>
    <w:rsid w:val="00F675D9"/>
    <w:rsid w:val="00F71243"/>
    <w:rsid w:val="00F71363"/>
    <w:rsid w:val="00F72602"/>
    <w:rsid w:val="00F72F96"/>
    <w:rsid w:val="00F73DBC"/>
    <w:rsid w:val="00F743E1"/>
    <w:rsid w:val="00F7554B"/>
    <w:rsid w:val="00F800A5"/>
    <w:rsid w:val="00F80A1C"/>
    <w:rsid w:val="00F82DA0"/>
    <w:rsid w:val="00F847C1"/>
    <w:rsid w:val="00F85E47"/>
    <w:rsid w:val="00F8635E"/>
    <w:rsid w:val="00F86711"/>
    <w:rsid w:val="00F8759F"/>
    <w:rsid w:val="00F87A3B"/>
    <w:rsid w:val="00F90B44"/>
    <w:rsid w:val="00F91A42"/>
    <w:rsid w:val="00F91A81"/>
    <w:rsid w:val="00F93B75"/>
    <w:rsid w:val="00F93F78"/>
    <w:rsid w:val="00F94658"/>
    <w:rsid w:val="00F94DD4"/>
    <w:rsid w:val="00F9554F"/>
    <w:rsid w:val="00F97976"/>
    <w:rsid w:val="00F97CC4"/>
    <w:rsid w:val="00FA05FF"/>
    <w:rsid w:val="00FA084A"/>
    <w:rsid w:val="00FA0A5E"/>
    <w:rsid w:val="00FA2964"/>
    <w:rsid w:val="00FA4F09"/>
    <w:rsid w:val="00FA6AAA"/>
    <w:rsid w:val="00FA7C58"/>
    <w:rsid w:val="00FB108E"/>
    <w:rsid w:val="00FB1EEE"/>
    <w:rsid w:val="00FB2FA8"/>
    <w:rsid w:val="00FB3DD7"/>
    <w:rsid w:val="00FB411D"/>
    <w:rsid w:val="00FB70B7"/>
    <w:rsid w:val="00FB7EFD"/>
    <w:rsid w:val="00FC2944"/>
    <w:rsid w:val="00FC33CF"/>
    <w:rsid w:val="00FC3F61"/>
    <w:rsid w:val="00FC52D6"/>
    <w:rsid w:val="00FC640B"/>
    <w:rsid w:val="00FC69C5"/>
    <w:rsid w:val="00FC7873"/>
    <w:rsid w:val="00FC7D1E"/>
    <w:rsid w:val="00FD0E5C"/>
    <w:rsid w:val="00FD13A5"/>
    <w:rsid w:val="00FD1F1C"/>
    <w:rsid w:val="00FD20A5"/>
    <w:rsid w:val="00FD24AC"/>
    <w:rsid w:val="00FD2D1D"/>
    <w:rsid w:val="00FD35D3"/>
    <w:rsid w:val="00FD4533"/>
    <w:rsid w:val="00FD458B"/>
    <w:rsid w:val="00FD72C3"/>
    <w:rsid w:val="00FD7609"/>
    <w:rsid w:val="00FD79E5"/>
    <w:rsid w:val="00FE022C"/>
    <w:rsid w:val="00FE025F"/>
    <w:rsid w:val="00FE0475"/>
    <w:rsid w:val="00FE112B"/>
    <w:rsid w:val="00FE1F83"/>
    <w:rsid w:val="00FE236B"/>
    <w:rsid w:val="00FE2A99"/>
    <w:rsid w:val="00FE2ABF"/>
    <w:rsid w:val="00FE3226"/>
    <w:rsid w:val="00FE3470"/>
    <w:rsid w:val="00FE4F8C"/>
    <w:rsid w:val="00FE4FBF"/>
    <w:rsid w:val="00FE55FC"/>
    <w:rsid w:val="00FE63BD"/>
    <w:rsid w:val="00FE6D3A"/>
    <w:rsid w:val="00FF4104"/>
    <w:rsid w:val="00FF4413"/>
    <w:rsid w:val="00FF4B5B"/>
    <w:rsid w:val="00FF5269"/>
    <w:rsid w:val="00FF558A"/>
    <w:rsid w:val="00FF5883"/>
    <w:rsid w:val="00FF6366"/>
    <w:rsid w:val="00FF6B7F"/>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5EC28"/>
  <w15:docId w15:val="{AC944C36-FA0F-467E-AEAB-D096EF87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81E"/>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3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 w:type="character" w:styleId="Accentuationlgre">
    <w:name w:val="Subtle Emphasis"/>
    <w:basedOn w:val="Policepardfaut"/>
    <w:uiPriority w:val="19"/>
    <w:qFormat/>
    <w:rsid w:val="006C2E3B"/>
    <w:rPr>
      <w:i/>
      <w:iCs/>
      <w:color w:val="808080" w:themeColor="text1" w:themeTint="7F"/>
    </w:rPr>
  </w:style>
  <w:style w:type="paragraph" w:styleId="Corpsdetexte">
    <w:name w:val="Body Text"/>
    <w:basedOn w:val="Normal"/>
    <w:link w:val="CorpsdetexteCar"/>
    <w:uiPriority w:val="99"/>
    <w:unhideWhenUsed/>
    <w:rsid w:val="00E71D9F"/>
    <w:pPr>
      <w:spacing w:after="120"/>
    </w:pPr>
  </w:style>
  <w:style w:type="character" w:customStyle="1" w:styleId="CorpsdetexteCar">
    <w:name w:val="Corps de texte Car"/>
    <w:basedOn w:val="Policepardfaut"/>
    <w:link w:val="Corpsdetexte"/>
    <w:uiPriority w:val="99"/>
    <w:rsid w:val="00E71D9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4350">
      <w:bodyDiv w:val="1"/>
      <w:marLeft w:val="0"/>
      <w:marRight w:val="0"/>
      <w:marTop w:val="0"/>
      <w:marBottom w:val="0"/>
      <w:divBdr>
        <w:top w:val="none" w:sz="0" w:space="0" w:color="auto"/>
        <w:left w:val="none" w:sz="0" w:space="0" w:color="auto"/>
        <w:bottom w:val="none" w:sz="0" w:space="0" w:color="auto"/>
        <w:right w:val="none" w:sz="0" w:space="0" w:color="auto"/>
      </w:divBdr>
    </w:div>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51869587">
      <w:bodyDiv w:val="1"/>
      <w:marLeft w:val="0"/>
      <w:marRight w:val="0"/>
      <w:marTop w:val="0"/>
      <w:marBottom w:val="0"/>
      <w:divBdr>
        <w:top w:val="none" w:sz="0" w:space="0" w:color="auto"/>
        <w:left w:val="none" w:sz="0" w:space="0" w:color="auto"/>
        <w:bottom w:val="none" w:sz="0" w:space="0" w:color="auto"/>
        <w:right w:val="none" w:sz="0" w:space="0" w:color="auto"/>
      </w:divBdr>
    </w:div>
    <w:div w:id="183448184">
      <w:bodyDiv w:val="1"/>
      <w:marLeft w:val="0"/>
      <w:marRight w:val="0"/>
      <w:marTop w:val="0"/>
      <w:marBottom w:val="0"/>
      <w:divBdr>
        <w:top w:val="none" w:sz="0" w:space="0" w:color="auto"/>
        <w:left w:val="none" w:sz="0" w:space="0" w:color="auto"/>
        <w:bottom w:val="none" w:sz="0" w:space="0" w:color="auto"/>
        <w:right w:val="none" w:sz="0" w:space="0" w:color="auto"/>
      </w:divBdr>
    </w:div>
    <w:div w:id="191650269">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277221073">
      <w:bodyDiv w:val="1"/>
      <w:marLeft w:val="0"/>
      <w:marRight w:val="0"/>
      <w:marTop w:val="0"/>
      <w:marBottom w:val="0"/>
      <w:divBdr>
        <w:top w:val="none" w:sz="0" w:space="0" w:color="auto"/>
        <w:left w:val="none" w:sz="0" w:space="0" w:color="auto"/>
        <w:bottom w:val="none" w:sz="0" w:space="0" w:color="auto"/>
        <w:right w:val="none" w:sz="0" w:space="0" w:color="auto"/>
      </w:divBdr>
    </w:div>
    <w:div w:id="564267629">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940525758">
      <w:bodyDiv w:val="1"/>
      <w:marLeft w:val="0"/>
      <w:marRight w:val="0"/>
      <w:marTop w:val="0"/>
      <w:marBottom w:val="0"/>
      <w:divBdr>
        <w:top w:val="none" w:sz="0" w:space="0" w:color="auto"/>
        <w:left w:val="none" w:sz="0" w:space="0" w:color="auto"/>
        <w:bottom w:val="none" w:sz="0" w:space="0" w:color="auto"/>
        <w:right w:val="none" w:sz="0" w:space="0" w:color="auto"/>
      </w:divBdr>
    </w:div>
    <w:div w:id="990521727">
      <w:bodyDiv w:val="1"/>
      <w:marLeft w:val="0"/>
      <w:marRight w:val="0"/>
      <w:marTop w:val="0"/>
      <w:marBottom w:val="0"/>
      <w:divBdr>
        <w:top w:val="none" w:sz="0" w:space="0" w:color="auto"/>
        <w:left w:val="none" w:sz="0" w:space="0" w:color="auto"/>
        <w:bottom w:val="none" w:sz="0" w:space="0" w:color="auto"/>
        <w:right w:val="none" w:sz="0" w:space="0" w:color="auto"/>
      </w:divBdr>
    </w:div>
    <w:div w:id="1116602493">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657303167">
      <w:bodyDiv w:val="1"/>
      <w:marLeft w:val="0"/>
      <w:marRight w:val="0"/>
      <w:marTop w:val="0"/>
      <w:marBottom w:val="0"/>
      <w:divBdr>
        <w:top w:val="none" w:sz="0" w:space="0" w:color="auto"/>
        <w:left w:val="none" w:sz="0" w:space="0" w:color="auto"/>
        <w:bottom w:val="none" w:sz="0" w:space="0" w:color="auto"/>
        <w:right w:val="none" w:sz="0" w:space="0" w:color="auto"/>
      </w:divBdr>
    </w:div>
    <w:div w:id="1706711880">
      <w:bodyDiv w:val="1"/>
      <w:marLeft w:val="0"/>
      <w:marRight w:val="0"/>
      <w:marTop w:val="0"/>
      <w:marBottom w:val="0"/>
      <w:divBdr>
        <w:top w:val="none" w:sz="0" w:space="0" w:color="auto"/>
        <w:left w:val="none" w:sz="0" w:space="0" w:color="auto"/>
        <w:bottom w:val="none" w:sz="0" w:space="0" w:color="auto"/>
        <w:right w:val="none" w:sz="0" w:space="0" w:color="auto"/>
      </w:divBdr>
    </w:div>
    <w:div w:id="1749502261">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768845285">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1932816220">
      <w:bodyDiv w:val="1"/>
      <w:marLeft w:val="0"/>
      <w:marRight w:val="0"/>
      <w:marTop w:val="0"/>
      <w:marBottom w:val="0"/>
      <w:divBdr>
        <w:top w:val="none" w:sz="0" w:space="0" w:color="auto"/>
        <w:left w:val="none" w:sz="0" w:space="0" w:color="auto"/>
        <w:bottom w:val="none" w:sz="0" w:space="0" w:color="auto"/>
        <w:right w:val="none" w:sz="0" w:space="0" w:color="auto"/>
      </w:divBdr>
    </w:div>
    <w:div w:id="1974142080">
      <w:bodyDiv w:val="1"/>
      <w:marLeft w:val="0"/>
      <w:marRight w:val="0"/>
      <w:marTop w:val="0"/>
      <w:marBottom w:val="0"/>
      <w:divBdr>
        <w:top w:val="none" w:sz="0" w:space="0" w:color="auto"/>
        <w:left w:val="none" w:sz="0" w:space="0" w:color="auto"/>
        <w:bottom w:val="none" w:sz="0" w:space="0" w:color="auto"/>
        <w:right w:val="none" w:sz="0" w:space="0" w:color="auto"/>
      </w:divBdr>
    </w:div>
    <w:div w:id="2076470150">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lff\Downloads\CCC_2024.12.27%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pivotSource>
    <c:name>[CCC_2024.12.27 .xlsx]Feuil3!Tableau croisé dynamique3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Times New Roman" panose="02020603050405020304" pitchFamily="18" charset="0"/>
                <a:cs typeface="Times New Roman" panose="02020603050405020304" pitchFamily="18" charset="0"/>
              </a:rPr>
              <a:t>Nombres de CCC suivis</a:t>
            </a:r>
            <a:r>
              <a:rPr lang="en-GB" sz="1200" baseline="0">
                <a:latin typeface="Times New Roman" panose="02020603050405020304" pitchFamily="18" charset="0"/>
                <a:cs typeface="Times New Roman" panose="02020603050405020304" pitchFamily="18" charset="0"/>
              </a:rPr>
              <a:t> par province</a:t>
            </a:r>
            <a:endParaRPr lang="en-GB"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GA"/>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GA"/>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GA"/>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GA"/>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Feuil3!$B$3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G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Feuil3!$A$4:$A$8</c:f>
              <c:strCache>
                <c:ptCount val="4"/>
                <c:pt idx="0">
                  <c:v>Ngounie</c:v>
                </c:pt>
                <c:pt idx="1">
                  <c:v>Nyanga</c:v>
                </c:pt>
                <c:pt idx="2">
                  <c:v>Ogooué-Ivindo</c:v>
                </c:pt>
                <c:pt idx="3">
                  <c:v>Woleu-Ntem</c:v>
                </c:pt>
              </c:strCache>
            </c:strRef>
          </c:cat>
          <c:val>
            <c:numRef>
              <c:f>Feuil3!$B$4:$B$8</c:f>
              <c:numCache>
                <c:formatCode>General</c:formatCode>
                <c:ptCount val="4"/>
                <c:pt idx="0">
                  <c:v>66</c:v>
                </c:pt>
                <c:pt idx="1">
                  <c:v>13</c:v>
                </c:pt>
                <c:pt idx="2">
                  <c:v>71</c:v>
                </c:pt>
                <c:pt idx="3">
                  <c:v>45</c:v>
                </c:pt>
              </c:numCache>
            </c:numRef>
          </c:val>
          <c:extLst>
            <c:ext xmlns:c16="http://schemas.microsoft.com/office/drawing/2014/chart" uri="{C3380CC4-5D6E-409C-BE32-E72D297353CC}">
              <c16:uniqueId val="{00000000-CCF4-436F-AADD-054D4C8D06FD}"/>
            </c:ext>
          </c:extLst>
        </c:ser>
        <c:dLbls>
          <c:showLegendKey val="0"/>
          <c:showVal val="0"/>
          <c:showCatName val="0"/>
          <c:showSerName val="0"/>
          <c:showPercent val="0"/>
          <c:showBubbleSize val="0"/>
        </c:dLbls>
        <c:gapWidth val="219"/>
        <c:overlap val="-27"/>
        <c:axId val="601448048"/>
        <c:axId val="497633528"/>
      </c:barChart>
      <c:catAx>
        <c:axId val="60144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GA"/>
          </a:p>
        </c:txPr>
        <c:crossAx val="497633528"/>
        <c:crosses val="autoZero"/>
        <c:auto val="1"/>
        <c:lblAlgn val="ctr"/>
        <c:lblOffset val="100"/>
        <c:noMultiLvlLbl val="0"/>
      </c:catAx>
      <c:valAx>
        <c:axId val="497633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GA"/>
          </a:p>
        </c:txPr>
        <c:crossAx val="6014480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G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GA"/>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6643-AE78-4B63-AEF9-FF80962E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1241</Words>
  <Characters>7076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Hélène Blanchard</cp:lastModifiedBy>
  <cp:revision>4</cp:revision>
  <cp:lastPrinted>2012-11-06T06:41:00Z</cp:lastPrinted>
  <dcterms:created xsi:type="dcterms:W3CDTF">2025-01-10T12:24:00Z</dcterms:created>
  <dcterms:modified xsi:type="dcterms:W3CDTF">2025-01-10T14:12:00Z</dcterms:modified>
</cp:coreProperties>
</file>